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94944" w14:textId="77777777" w:rsidR="00B92238" w:rsidRDefault="00B7792C" w:rsidP="00F7452E">
      <w:pPr>
        <w:jc w:val="center"/>
        <w:rPr>
          <w:rStyle w:val="BookTitle"/>
          <w:color w:val="000090"/>
          <w:sz w:val="28"/>
          <w:szCs w:val="28"/>
        </w:rPr>
      </w:pPr>
      <w:r>
        <w:rPr>
          <w:noProof/>
        </w:rPr>
        <w:drawing>
          <wp:inline distT="0" distB="0" distL="0" distR="0" wp14:anchorId="1F79499D" wp14:editId="1F79499E">
            <wp:extent cx="1157288" cy="1140856"/>
            <wp:effectExtent l="19050" t="0" r="4762" b="0"/>
            <wp:docPr id="1" name="Picture 0" descr="coaster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er logo (2).jpg"/>
                    <pic:cNvPicPr/>
                  </pic:nvPicPr>
                  <pic:blipFill>
                    <a:blip r:embed="rId10"/>
                    <a:stretch>
                      <a:fillRect/>
                    </a:stretch>
                  </pic:blipFill>
                  <pic:spPr>
                    <a:xfrm>
                      <a:off x="0" y="0"/>
                      <a:ext cx="1157572" cy="1141136"/>
                    </a:xfrm>
                    <a:prstGeom prst="rect">
                      <a:avLst/>
                    </a:prstGeom>
                  </pic:spPr>
                </pic:pic>
              </a:graphicData>
            </a:graphic>
          </wp:inline>
        </w:drawing>
      </w:r>
    </w:p>
    <w:p w14:paraId="1F794945" w14:textId="77777777" w:rsidR="00B92238" w:rsidRDefault="00B92238" w:rsidP="00F7452E">
      <w:pPr>
        <w:rPr>
          <w:rStyle w:val="BookTitle"/>
          <w:color w:val="000090"/>
          <w:sz w:val="28"/>
          <w:szCs w:val="28"/>
        </w:rPr>
      </w:pPr>
    </w:p>
    <w:p w14:paraId="1F794946" w14:textId="77777777" w:rsidR="00F7452E" w:rsidRPr="00956FA8" w:rsidRDefault="00F7452E" w:rsidP="00F7452E">
      <w:pPr>
        <w:pStyle w:val="Title"/>
        <w:jc w:val="center"/>
        <w:rPr>
          <w:rStyle w:val="BookTitle"/>
          <w:rFonts w:ascii="Palatino Linotype" w:hAnsi="Palatino Linotype"/>
          <w:b w:val="0"/>
          <w:bCs w:val="0"/>
          <w:smallCaps w:val="0"/>
          <w:szCs w:val="28"/>
        </w:rPr>
      </w:pPr>
      <w:r w:rsidRPr="00956FA8">
        <w:rPr>
          <w:rStyle w:val="BookTitle"/>
          <w:rFonts w:ascii="Palatino Linotype" w:hAnsi="Palatino Linotype"/>
          <w:b w:val="0"/>
          <w:bCs w:val="0"/>
          <w:smallCaps w:val="0"/>
          <w:szCs w:val="28"/>
        </w:rPr>
        <w:t>2011 Legislative Session</w:t>
      </w:r>
    </w:p>
    <w:p w14:paraId="1F794947" w14:textId="77777777" w:rsidR="00B92238" w:rsidRDefault="00B92238" w:rsidP="00F7452E">
      <w:pPr>
        <w:rPr>
          <w:rStyle w:val="BookTitle"/>
          <w:color w:val="000090"/>
          <w:sz w:val="28"/>
          <w:szCs w:val="28"/>
        </w:rPr>
      </w:pPr>
    </w:p>
    <w:p w14:paraId="1F794948" w14:textId="011C2892" w:rsidR="00FA49C1" w:rsidRPr="00764C49" w:rsidRDefault="00FA49C1" w:rsidP="00FA49C1">
      <w:pPr>
        <w:rPr>
          <w:rStyle w:val="BookTitle"/>
          <w:color w:val="002060"/>
          <w:sz w:val="28"/>
          <w:szCs w:val="28"/>
        </w:rPr>
      </w:pPr>
      <w:r w:rsidRPr="00E0121F">
        <w:rPr>
          <w:rStyle w:val="BookTitle"/>
          <w:color w:val="375AAF" w:themeColor="accent4" w:themeShade="BF"/>
          <w:sz w:val="28"/>
          <w:szCs w:val="28"/>
        </w:rPr>
        <w:t xml:space="preserve">Adjustments </w:t>
      </w:r>
      <w:r w:rsidR="00DB79A8" w:rsidRPr="00E0121F">
        <w:rPr>
          <w:rStyle w:val="BookTitle"/>
          <w:color w:val="375AAF" w:themeColor="accent4" w:themeShade="BF"/>
          <w:sz w:val="28"/>
          <w:szCs w:val="28"/>
        </w:rPr>
        <w:t>To</w:t>
      </w:r>
      <w:r w:rsidRPr="00E0121F">
        <w:rPr>
          <w:rStyle w:val="BookTitle"/>
          <w:color w:val="375AAF" w:themeColor="accent4" w:themeShade="BF"/>
          <w:sz w:val="28"/>
          <w:szCs w:val="28"/>
        </w:rPr>
        <w:t xml:space="preserve"> Instructional Days</w:t>
      </w:r>
      <w:r w:rsidR="00DB79A8" w:rsidRPr="00E0121F">
        <w:rPr>
          <w:rStyle w:val="BookTitle"/>
          <w:color w:val="375AAF" w:themeColor="accent4" w:themeShade="BF"/>
          <w:sz w:val="28"/>
          <w:szCs w:val="28"/>
        </w:rPr>
        <w:t xml:space="preserve"> For</w:t>
      </w:r>
      <w:r w:rsidRPr="00E0121F">
        <w:rPr>
          <w:rStyle w:val="BookTitle"/>
          <w:color w:val="375AAF" w:themeColor="accent4" w:themeShade="BF"/>
          <w:sz w:val="28"/>
          <w:szCs w:val="28"/>
        </w:rPr>
        <w:t xml:space="preserve"> </w:t>
      </w:r>
      <w:r w:rsidR="00DB79A8" w:rsidRPr="00E0121F">
        <w:rPr>
          <w:rStyle w:val="BookTitle"/>
          <w:color w:val="375AAF" w:themeColor="accent4" w:themeShade="BF"/>
          <w:sz w:val="28"/>
          <w:szCs w:val="28"/>
        </w:rPr>
        <w:t>Weather</w:t>
      </w:r>
      <w:r w:rsidR="00E0121F">
        <w:rPr>
          <w:rStyle w:val="BookTitle"/>
          <w:color w:val="002060"/>
          <w:sz w:val="28"/>
          <w:szCs w:val="28"/>
        </w:rPr>
        <w:t xml:space="preserve"> (</w:t>
      </w:r>
      <w:hyperlink r:id="rId11" w:history="1">
        <w:r w:rsidR="00E0121F" w:rsidRPr="00BE5240">
          <w:rPr>
            <w:rStyle w:val="Hyperlink"/>
            <w:spacing w:val="5"/>
            <w:sz w:val="28"/>
            <w:szCs w:val="28"/>
          </w:rPr>
          <w:t>Act</w:t>
        </w:r>
        <w:r w:rsidRPr="00BE5240">
          <w:rPr>
            <w:rStyle w:val="Hyperlink"/>
            <w:spacing w:val="5"/>
            <w:sz w:val="28"/>
            <w:szCs w:val="28"/>
          </w:rPr>
          <w:t xml:space="preserve"> No. 2011-235</w:t>
        </w:r>
      </w:hyperlink>
      <w:r w:rsidRPr="00764C49">
        <w:rPr>
          <w:rStyle w:val="BookTitle"/>
          <w:color w:val="002060"/>
          <w:sz w:val="28"/>
          <w:szCs w:val="28"/>
        </w:rPr>
        <w:t>)</w:t>
      </w:r>
    </w:p>
    <w:p w14:paraId="1F794949" w14:textId="77777777" w:rsidR="00FA49C1" w:rsidRPr="00FA49C1" w:rsidRDefault="00FA49C1" w:rsidP="00FA49C1">
      <w:r>
        <w:t>Allows a local board of education (</w:t>
      </w:r>
      <w:r w:rsidRPr="00FA49C1">
        <w:t>upon approval of the Sta</w:t>
      </w:r>
      <w:r>
        <w:t xml:space="preserve">te Superintendent of Education) </w:t>
      </w:r>
      <w:r w:rsidRPr="00FA49C1">
        <w:t>to make up cancelled instructional days due to weather or other extenuating circumstances by adjusting the hours of instruction.</w:t>
      </w:r>
    </w:p>
    <w:p w14:paraId="1F79494A" w14:textId="77777777" w:rsidR="00FA49C1" w:rsidRDefault="00FA49C1" w:rsidP="00F7452E">
      <w:pPr>
        <w:rPr>
          <w:rStyle w:val="IntenseReference"/>
          <w:color w:val="002060"/>
          <w:u w:val="none"/>
        </w:rPr>
      </w:pPr>
    </w:p>
    <w:p w14:paraId="1F79494B" w14:textId="4A163BA0" w:rsidR="0054563A" w:rsidRDefault="0054563A" w:rsidP="00F7452E">
      <w:r w:rsidRPr="00E0121F">
        <w:rPr>
          <w:rStyle w:val="IntenseReference"/>
          <w:color w:val="375AAF" w:themeColor="accent4" w:themeShade="BF"/>
          <w:sz w:val="28"/>
          <w:szCs w:val="28"/>
          <w:u w:val="none"/>
        </w:rPr>
        <w:t>Budget</w:t>
      </w:r>
      <w:r w:rsidR="006E2A24" w:rsidRPr="00E0121F">
        <w:rPr>
          <w:rStyle w:val="IntenseReference"/>
          <w:color w:val="375AAF" w:themeColor="accent4" w:themeShade="BF"/>
          <w:sz w:val="28"/>
          <w:szCs w:val="28"/>
          <w:u w:val="none"/>
        </w:rPr>
        <w:t xml:space="preserve"> </w:t>
      </w:r>
      <w:r w:rsidR="00084D6A" w:rsidRPr="00E0121F">
        <w:rPr>
          <w:rStyle w:val="IntenseReference"/>
          <w:color w:val="375AAF" w:themeColor="accent4" w:themeShade="BF"/>
          <w:sz w:val="28"/>
          <w:szCs w:val="28"/>
          <w:u w:val="none"/>
        </w:rPr>
        <w:t xml:space="preserve"> </w:t>
      </w:r>
      <w:r w:rsidRPr="00E0121F">
        <w:rPr>
          <w:rStyle w:val="IntenseReference"/>
          <w:color w:val="375AAF" w:themeColor="accent4" w:themeShade="BF"/>
          <w:sz w:val="28"/>
          <w:szCs w:val="28"/>
          <w:u w:val="none"/>
        </w:rPr>
        <w:t>FY12</w:t>
      </w:r>
      <w:r w:rsidRPr="00764C49">
        <w:rPr>
          <w:rStyle w:val="IntenseReference"/>
          <w:color w:val="002060"/>
          <w:sz w:val="28"/>
          <w:szCs w:val="28"/>
          <w:u w:val="none"/>
        </w:rPr>
        <w:t xml:space="preserve"> (</w:t>
      </w:r>
      <w:hyperlink r:id="rId12" w:history="1">
        <w:r w:rsidR="00E0121F" w:rsidRPr="00D26C52">
          <w:rPr>
            <w:rStyle w:val="Hyperlink"/>
            <w:spacing w:val="5"/>
            <w:sz w:val="28"/>
            <w:szCs w:val="28"/>
          </w:rPr>
          <w:t>Act</w:t>
        </w:r>
        <w:r w:rsidR="00BA66D2" w:rsidRPr="00D26C52">
          <w:rPr>
            <w:rStyle w:val="Hyperlink"/>
            <w:spacing w:val="5"/>
            <w:sz w:val="28"/>
            <w:szCs w:val="28"/>
          </w:rPr>
          <w:t xml:space="preserve"> No. 2011-655</w:t>
        </w:r>
      </w:hyperlink>
      <w:r w:rsidR="00084D6A" w:rsidRPr="00764C49">
        <w:rPr>
          <w:rStyle w:val="IntenseReference"/>
          <w:color w:val="002060"/>
          <w:sz w:val="28"/>
          <w:szCs w:val="28"/>
          <w:u w:val="none"/>
        </w:rPr>
        <w:t>)</w:t>
      </w:r>
      <w:r w:rsidRPr="00764C49">
        <w:rPr>
          <w:rStyle w:val="BookTitle"/>
          <w:color w:val="002060"/>
          <w:sz w:val="28"/>
          <w:szCs w:val="28"/>
        </w:rPr>
        <w:br/>
      </w:r>
      <w:r w:rsidR="00BC6868">
        <w:t>A</w:t>
      </w:r>
      <w:r>
        <w:t>ppropriates funds</w:t>
      </w:r>
      <w:r w:rsidRPr="005159A2">
        <w:t xml:space="preserve"> from the Education Trust Fund to state agencies, institutions, and public schools for the support, maintenance, and development of public education in Alabama for the fiscal year ending September 30, 2012.</w:t>
      </w:r>
      <w:r>
        <w:t xml:space="preserve"> The education budget appropriates $5.59 billion from the Education Trust Fund, an increase of $240.7 million or 4.5</w:t>
      </w:r>
      <w:r w:rsidR="0017594D">
        <w:t>%</w:t>
      </w:r>
      <w:r>
        <w:t xml:space="preserve"> more than the current budget.</w:t>
      </w:r>
      <w:r w:rsidR="003E6ECC">
        <w:t xml:space="preserve"> However, the current budget includes $462.5 million in federal stimulus money that is not available next year. </w:t>
      </w:r>
    </w:p>
    <w:p w14:paraId="1F79494C" w14:textId="77777777" w:rsidR="003E6ECC" w:rsidRDefault="003E6ECC" w:rsidP="00F7452E"/>
    <w:p w14:paraId="1F79494D" w14:textId="77777777" w:rsidR="003E6ECC" w:rsidRDefault="003E6ECC" w:rsidP="00FA49C1">
      <w:pPr>
        <w:ind w:left="360"/>
      </w:pPr>
      <w:r w:rsidRPr="00DB79A8">
        <w:rPr>
          <w:b/>
          <w:i/>
        </w:rPr>
        <w:t>ETF spending for FY12</w:t>
      </w:r>
      <w:r>
        <w:t>:</w:t>
      </w:r>
    </w:p>
    <w:p w14:paraId="1F79494E" w14:textId="77777777" w:rsidR="003E6ECC" w:rsidRDefault="003E6ECC" w:rsidP="00F7452E">
      <w:pPr>
        <w:pStyle w:val="ListParagraph"/>
      </w:pPr>
      <w:r w:rsidRPr="003E6ECC">
        <w:t>$3.62 billion (increase of $174.6 million or 5.1% for the foundation program</w:t>
      </w:r>
      <w:r>
        <w:t>)</w:t>
      </w:r>
    </w:p>
    <w:p w14:paraId="1F79494F" w14:textId="77777777" w:rsidR="003E6ECC" w:rsidRDefault="003E6ECC" w:rsidP="00F7452E">
      <w:pPr>
        <w:pStyle w:val="ListParagraph"/>
      </w:pPr>
      <w:r>
        <w:t>$1.04 billion (increase of $51.4 million or 5.2% for public universities)</w:t>
      </w:r>
    </w:p>
    <w:p w14:paraId="1F794950" w14:textId="77777777" w:rsidR="003E6ECC" w:rsidRPr="003E6ECC" w:rsidRDefault="003E6ECC" w:rsidP="00F7452E">
      <w:pPr>
        <w:pStyle w:val="ListParagraph"/>
      </w:pPr>
      <w:r>
        <w:t>$320.1 million (decrease of $1.9 million or .6% for the two-year college system)</w:t>
      </w:r>
    </w:p>
    <w:p w14:paraId="1F794951" w14:textId="77777777" w:rsidR="00797652" w:rsidRDefault="00797652" w:rsidP="00F7452E">
      <w:pPr>
        <w:rPr>
          <w:rStyle w:val="BookTitle"/>
          <w:color w:val="000090"/>
          <w:sz w:val="28"/>
          <w:szCs w:val="28"/>
        </w:rPr>
      </w:pPr>
    </w:p>
    <w:p w14:paraId="1F794952" w14:textId="5E5D8EAD" w:rsidR="00CB005F" w:rsidRPr="006D58F8" w:rsidRDefault="00CB005F" w:rsidP="00CB005F">
      <w:pPr>
        <w:rPr>
          <w:b/>
          <w:bCs/>
          <w:smallCaps/>
          <w:color w:val="375AAF" w:themeColor="accent4" w:themeShade="BF"/>
          <w:spacing w:val="5"/>
          <w:sz w:val="28"/>
          <w:szCs w:val="28"/>
          <w:u w:val="single"/>
        </w:rPr>
      </w:pPr>
      <w:r w:rsidRPr="006D58F8">
        <w:rPr>
          <w:rStyle w:val="IntenseReference"/>
          <w:color w:val="375AAF" w:themeColor="accent4" w:themeShade="BF"/>
          <w:sz w:val="28"/>
          <w:szCs w:val="28"/>
        </w:rPr>
        <w:t>Child Nutrition Bill (</w:t>
      </w:r>
      <w:hyperlink r:id="rId13" w:history="1">
        <w:r w:rsidRPr="00F1454E">
          <w:rPr>
            <w:rStyle w:val="Hyperlink"/>
            <w:spacing w:val="5"/>
            <w:sz w:val="28"/>
            <w:szCs w:val="28"/>
          </w:rPr>
          <w:t>Act No. 2011-261</w:t>
        </w:r>
      </w:hyperlink>
      <w:r w:rsidRPr="006D58F8">
        <w:rPr>
          <w:rStyle w:val="IntenseReference"/>
          <w:color w:val="375AAF" w:themeColor="accent4" w:themeShade="BF"/>
          <w:sz w:val="28"/>
          <w:szCs w:val="28"/>
        </w:rPr>
        <w:t>)</w:t>
      </w:r>
      <w:r w:rsidR="006D58F8">
        <w:rPr>
          <w:rStyle w:val="IntenseReference"/>
          <w:color w:val="375AAF" w:themeColor="accent4" w:themeShade="BF"/>
          <w:sz w:val="28"/>
          <w:szCs w:val="28"/>
        </w:rPr>
        <w:t xml:space="preserve"> </w:t>
      </w:r>
      <w:r>
        <w:rPr>
          <w:rFonts w:ascii="Palatino Linotype" w:hAnsi="Palatino Linotype"/>
        </w:rPr>
        <w:t xml:space="preserve">Authorizes </w:t>
      </w:r>
      <w:r w:rsidRPr="00CB005F">
        <w:rPr>
          <w:rFonts w:ascii="Palatino Linotype" w:hAnsi="Palatino Linotype"/>
        </w:rPr>
        <w:t xml:space="preserve">use of </w:t>
      </w:r>
      <w:r>
        <w:rPr>
          <w:rFonts w:ascii="Palatino Linotype" w:hAnsi="Palatino Linotype"/>
        </w:rPr>
        <w:t>Other Current Expense funds above the two</w:t>
      </w:r>
      <w:r w:rsidR="00F1454E">
        <w:rPr>
          <w:rFonts w:ascii="Palatino Linotype" w:hAnsi="Palatino Linotype"/>
        </w:rPr>
        <w:t>-</w:t>
      </w:r>
      <w:r>
        <w:rPr>
          <w:rFonts w:ascii="Palatino Linotype" w:hAnsi="Palatino Linotype"/>
        </w:rPr>
        <w:t xml:space="preserve">month reserve </w:t>
      </w:r>
      <w:r w:rsidRPr="00CB005F">
        <w:rPr>
          <w:rFonts w:ascii="Palatino Linotype" w:hAnsi="Palatino Linotype"/>
        </w:rPr>
        <w:t xml:space="preserve">allocated to local boards of education and designated by Act No. 2010-610 for the Child Nutrition Program in the fiscal year ending September 30, 2011, for other uses as allowed by state law and the rules or regulations of the State Board of Education. </w:t>
      </w:r>
    </w:p>
    <w:p w14:paraId="1F794953" w14:textId="77777777" w:rsidR="00CB005F" w:rsidRDefault="00CB005F" w:rsidP="00781725">
      <w:pPr>
        <w:rPr>
          <w:rStyle w:val="IntenseReference"/>
          <w:color w:val="375AAF" w:themeColor="accent4" w:themeShade="BF"/>
          <w:sz w:val="28"/>
          <w:szCs w:val="28"/>
          <w:u w:val="none"/>
        </w:rPr>
      </w:pPr>
    </w:p>
    <w:p w14:paraId="1F794954" w14:textId="17E12ADB" w:rsidR="00781725" w:rsidRPr="00764C49" w:rsidRDefault="002E7400" w:rsidP="00781725">
      <w:pPr>
        <w:rPr>
          <w:rStyle w:val="IntenseReference"/>
          <w:color w:val="002060"/>
          <w:sz w:val="28"/>
          <w:szCs w:val="28"/>
          <w:u w:val="none"/>
        </w:rPr>
      </w:pPr>
      <w:r w:rsidRPr="00E0121F">
        <w:rPr>
          <w:rStyle w:val="IntenseReference"/>
          <w:color w:val="375AAF" w:themeColor="accent4" w:themeShade="BF"/>
          <w:sz w:val="28"/>
          <w:szCs w:val="28"/>
          <w:u w:val="none"/>
        </w:rPr>
        <w:t>“</w:t>
      </w:r>
      <w:r w:rsidR="0017594D" w:rsidRPr="00E0121F">
        <w:rPr>
          <w:rStyle w:val="IntenseReference"/>
          <w:color w:val="375AAF" w:themeColor="accent4" w:themeShade="BF"/>
          <w:sz w:val="28"/>
          <w:szCs w:val="28"/>
          <w:u w:val="none"/>
        </w:rPr>
        <w:t>Corruptly I</w:t>
      </w:r>
      <w:r w:rsidR="00797652" w:rsidRPr="00E0121F">
        <w:rPr>
          <w:rStyle w:val="IntenseReference"/>
          <w:color w:val="375AAF" w:themeColor="accent4" w:themeShade="BF"/>
          <w:sz w:val="28"/>
          <w:szCs w:val="28"/>
          <w:u w:val="none"/>
        </w:rPr>
        <w:t>nfluencing</w:t>
      </w:r>
      <w:r w:rsidR="0017594D" w:rsidRPr="00E0121F">
        <w:rPr>
          <w:rStyle w:val="IntenseReference"/>
          <w:color w:val="375AAF" w:themeColor="accent4" w:themeShade="BF"/>
          <w:sz w:val="28"/>
          <w:szCs w:val="28"/>
          <w:u w:val="none"/>
        </w:rPr>
        <w:t>” A</w:t>
      </w:r>
      <w:r w:rsidRPr="00E0121F">
        <w:rPr>
          <w:rStyle w:val="IntenseReference"/>
          <w:color w:val="375AAF" w:themeColor="accent4" w:themeShade="BF"/>
          <w:sz w:val="28"/>
          <w:szCs w:val="28"/>
          <w:u w:val="none"/>
        </w:rPr>
        <w:t>dded to Ethics Law</w:t>
      </w:r>
      <w:r w:rsidR="0017594D" w:rsidRPr="00764C49">
        <w:rPr>
          <w:rStyle w:val="IntenseReference"/>
          <w:color w:val="002060"/>
          <w:sz w:val="28"/>
          <w:szCs w:val="28"/>
          <w:u w:val="none"/>
        </w:rPr>
        <w:t xml:space="preserve"> </w:t>
      </w:r>
      <w:r w:rsidR="00797652" w:rsidRPr="00764C49">
        <w:rPr>
          <w:rStyle w:val="IntenseReference"/>
          <w:color w:val="002060"/>
          <w:sz w:val="28"/>
          <w:szCs w:val="28"/>
          <w:u w:val="none"/>
        </w:rPr>
        <w:t>(</w:t>
      </w:r>
      <w:hyperlink r:id="rId14" w:history="1">
        <w:r w:rsidR="00E0121F" w:rsidRPr="00AD23F7">
          <w:rPr>
            <w:rStyle w:val="Hyperlink"/>
            <w:spacing w:val="5"/>
            <w:sz w:val="28"/>
            <w:szCs w:val="28"/>
          </w:rPr>
          <w:t>Act</w:t>
        </w:r>
        <w:r w:rsidR="00BA66D2" w:rsidRPr="00AD23F7">
          <w:rPr>
            <w:rStyle w:val="Hyperlink"/>
            <w:spacing w:val="5"/>
            <w:sz w:val="28"/>
            <w:szCs w:val="28"/>
          </w:rPr>
          <w:t xml:space="preserve"> No. 2011-632</w:t>
        </w:r>
      </w:hyperlink>
      <w:r w:rsidR="00797652" w:rsidRPr="00764C49">
        <w:rPr>
          <w:rStyle w:val="IntenseReference"/>
          <w:color w:val="002060"/>
          <w:sz w:val="28"/>
          <w:szCs w:val="28"/>
          <w:u w:val="none"/>
        </w:rPr>
        <w:t>)</w:t>
      </w:r>
    </w:p>
    <w:p w14:paraId="1F794955" w14:textId="77777777" w:rsidR="00797652" w:rsidRDefault="00BC6868" w:rsidP="00BC6868">
      <w:r>
        <w:t>Clarifies</w:t>
      </w:r>
      <w:r w:rsidR="00781725" w:rsidRPr="00781725">
        <w:t xml:space="preserve"> that the prohibited offer, gift, solicitation, or receipt of anything, as contemplated in Section 36-25-7, Code of Alabama 2975, as amended, must be </w:t>
      </w:r>
      <w:proofErr w:type="gramStart"/>
      <w:r w:rsidR="00781725" w:rsidRPr="00781725">
        <w:t>for the purpose of</w:t>
      </w:r>
      <w:proofErr w:type="gramEnd"/>
      <w:r w:rsidR="00781725" w:rsidRPr="00781725">
        <w:t xml:space="preserve"> corruptly influencing official action and define</w:t>
      </w:r>
      <w:r w:rsidR="00F05293">
        <w:t>s “</w:t>
      </w:r>
      <w:r w:rsidR="00781725" w:rsidRPr="00781725">
        <w:t>corruptly.</w:t>
      </w:r>
      <w:r w:rsidR="00F05293">
        <w:t>”</w:t>
      </w:r>
    </w:p>
    <w:p w14:paraId="1F794956" w14:textId="77777777" w:rsidR="00781725" w:rsidRPr="00781725" w:rsidRDefault="00781725" w:rsidP="00F7452E">
      <w:pPr>
        <w:rPr>
          <w:rStyle w:val="BookTitle"/>
          <w:rFonts w:ascii="Courier New" w:eastAsia="Times New Roman" w:hAnsi="Courier New" w:cs="Courier New"/>
          <w:b w:val="0"/>
          <w:bCs w:val="0"/>
          <w:smallCaps w:val="0"/>
          <w:color w:val="000066"/>
          <w:spacing w:val="0"/>
          <w:sz w:val="20"/>
          <w:szCs w:val="20"/>
        </w:rPr>
      </w:pPr>
    </w:p>
    <w:p w14:paraId="1F794957" w14:textId="015CE3FE" w:rsidR="00797652" w:rsidRPr="00764C49" w:rsidRDefault="00797652" w:rsidP="00F7452E">
      <w:pPr>
        <w:rPr>
          <w:rStyle w:val="IntenseReference"/>
          <w:color w:val="002060"/>
          <w:sz w:val="28"/>
          <w:szCs w:val="28"/>
          <w:u w:val="none"/>
        </w:rPr>
      </w:pPr>
      <w:r w:rsidRPr="00E0121F">
        <w:rPr>
          <w:rStyle w:val="IntenseReference"/>
          <w:color w:val="375AAF" w:themeColor="accent4" w:themeShade="BF"/>
          <w:sz w:val="28"/>
          <w:szCs w:val="28"/>
          <w:u w:val="none"/>
        </w:rPr>
        <w:t>Concussions and Head Injury Training</w:t>
      </w:r>
      <w:r w:rsidRPr="00764C49">
        <w:rPr>
          <w:rStyle w:val="IntenseReference"/>
          <w:color w:val="002060"/>
          <w:sz w:val="28"/>
          <w:szCs w:val="28"/>
          <w:u w:val="none"/>
        </w:rPr>
        <w:t xml:space="preserve"> (</w:t>
      </w:r>
      <w:hyperlink r:id="rId15" w:history="1">
        <w:r w:rsidR="00E0121F" w:rsidRPr="00D140E1">
          <w:rPr>
            <w:rStyle w:val="Hyperlink"/>
            <w:spacing w:val="5"/>
            <w:sz w:val="28"/>
            <w:szCs w:val="28"/>
          </w:rPr>
          <w:t>Act</w:t>
        </w:r>
        <w:r w:rsidR="00BA66D2" w:rsidRPr="00D140E1">
          <w:rPr>
            <w:rStyle w:val="Hyperlink"/>
            <w:spacing w:val="5"/>
            <w:sz w:val="28"/>
            <w:szCs w:val="28"/>
          </w:rPr>
          <w:t xml:space="preserve"> No. 2011-541</w:t>
        </w:r>
      </w:hyperlink>
      <w:r w:rsidRPr="00764C49">
        <w:rPr>
          <w:rStyle w:val="IntenseReference"/>
          <w:color w:val="002060"/>
          <w:sz w:val="28"/>
          <w:szCs w:val="28"/>
          <w:u w:val="none"/>
        </w:rPr>
        <w:t>)</w:t>
      </w:r>
    </w:p>
    <w:p w14:paraId="1F794958" w14:textId="77777777" w:rsidR="00797652" w:rsidRPr="00F7452E" w:rsidRDefault="00BC6868" w:rsidP="00F7452E">
      <w:r>
        <w:t>Requires</w:t>
      </w:r>
      <w:r w:rsidR="00797652" w:rsidRPr="00F7452E">
        <w:t xml:space="preserve"> each local board of education in concert with the Alabama High School Athletic Association to develop guidelines and other pertinent information regarding medical </w:t>
      </w:r>
      <w:r w:rsidR="00797652" w:rsidRPr="00F7452E">
        <w:lastRenderedPageBreak/>
        <w:t>evaluation of concussions or head injuries; provide</w:t>
      </w:r>
      <w:r w:rsidR="00084D6A">
        <w:t>s</w:t>
      </w:r>
      <w:r w:rsidR="00797652" w:rsidRPr="00F7452E">
        <w:t xml:space="preserve"> that a youth athlete who is suspected of sustaining a concussion or head injury in a practice or game</w:t>
      </w:r>
      <w:r w:rsidR="00E529C7">
        <w:t xml:space="preserve"> s</w:t>
      </w:r>
      <w:r w:rsidR="00797652" w:rsidRPr="00F7452E">
        <w:t>hall be removed from competition at that time; and, require</w:t>
      </w:r>
      <w:r w:rsidR="00084D6A">
        <w:t>s</w:t>
      </w:r>
      <w:r w:rsidR="00797652" w:rsidRPr="00F7452E">
        <w:t xml:space="preserve"> a youth athlete who has been removed from play because of a concussion to receive a written clearance to return to play from a health care provider who has been trained in the evaluation and management of concussion before the player is allowed to return to play in a game. </w:t>
      </w:r>
    </w:p>
    <w:p w14:paraId="1F794959" w14:textId="77777777" w:rsidR="00797652" w:rsidRPr="00FA49C1" w:rsidRDefault="00797652" w:rsidP="00FA49C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BookTitle"/>
          <w:color w:val="002060"/>
        </w:rPr>
      </w:pPr>
    </w:p>
    <w:p w14:paraId="1F79495A" w14:textId="30711A1C" w:rsidR="006E2A24" w:rsidRPr="00764C49" w:rsidRDefault="006E2A24" w:rsidP="00F7452E">
      <w:pPr>
        <w:rPr>
          <w:rStyle w:val="BookTitle"/>
          <w:color w:val="002060"/>
          <w:sz w:val="28"/>
          <w:szCs w:val="28"/>
        </w:rPr>
      </w:pPr>
      <w:r w:rsidRPr="00E0121F">
        <w:rPr>
          <w:rStyle w:val="BookTitle"/>
          <w:color w:val="375AAF" w:themeColor="accent4" w:themeShade="BF"/>
          <w:sz w:val="28"/>
          <w:szCs w:val="28"/>
        </w:rPr>
        <w:t>Drop Repealed</w:t>
      </w:r>
      <w:r w:rsidRPr="00764C49">
        <w:rPr>
          <w:rStyle w:val="BookTitle"/>
          <w:color w:val="002060"/>
          <w:sz w:val="28"/>
          <w:szCs w:val="28"/>
        </w:rPr>
        <w:t xml:space="preserve"> (</w:t>
      </w:r>
      <w:hyperlink r:id="rId16" w:history="1">
        <w:r w:rsidRPr="003038BC">
          <w:rPr>
            <w:rStyle w:val="Hyperlink"/>
            <w:spacing w:val="5"/>
            <w:sz w:val="28"/>
            <w:szCs w:val="28"/>
          </w:rPr>
          <w:t>Act No. 2011-27</w:t>
        </w:r>
      </w:hyperlink>
      <w:r w:rsidRPr="00764C49">
        <w:rPr>
          <w:rStyle w:val="BookTitle"/>
          <w:color w:val="002060"/>
          <w:sz w:val="28"/>
          <w:szCs w:val="28"/>
        </w:rPr>
        <w:t>)</w:t>
      </w:r>
    </w:p>
    <w:p w14:paraId="1F79495B" w14:textId="77777777" w:rsidR="006E2A24" w:rsidRDefault="006E2A24" w:rsidP="006E2A24">
      <w:r>
        <w:t>Repeals</w:t>
      </w:r>
      <w:r w:rsidRPr="006E2A24">
        <w:t xml:space="preserve"> the Deferred Retirement Option Plan ("DROP")</w:t>
      </w:r>
      <w:r>
        <w:t xml:space="preserve"> and </w:t>
      </w:r>
      <w:r w:rsidRPr="006E2A24">
        <w:t>provide</w:t>
      </w:r>
      <w:r>
        <w:t xml:space="preserve">s </w:t>
      </w:r>
      <w:r w:rsidRPr="006E2A24">
        <w:t xml:space="preserve">that the rights and duties of persons who have </w:t>
      </w:r>
      <w:r>
        <w:t xml:space="preserve">elected to participate in DROP </w:t>
      </w:r>
      <w:r w:rsidRPr="006E2A24">
        <w:t xml:space="preserve">prior to such repeal shall not be affected. </w:t>
      </w:r>
    </w:p>
    <w:p w14:paraId="1F79495C" w14:textId="77777777" w:rsidR="006E2A24" w:rsidRDefault="006E2A24" w:rsidP="006E2A24">
      <w:pPr>
        <w:rPr>
          <w:rStyle w:val="BookTitle"/>
          <w:color w:val="002060"/>
        </w:rPr>
      </w:pPr>
    </w:p>
    <w:p w14:paraId="1F79495D" w14:textId="1C39DCC8" w:rsidR="003E6ECC" w:rsidRPr="00764C49" w:rsidRDefault="003E6ECC" w:rsidP="00F7452E">
      <w:pPr>
        <w:rPr>
          <w:rStyle w:val="BookTitle"/>
          <w:color w:val="002060"/>
          <w:sz w:val="28"/>
          <w:szCs w:val="28"/>
        </w:rPr>
      </w:pPr>
      <w:r w:rsidRPr="00E0121F">
        <w:rPr>
          <w:rStyle w:val="BookTitle"/>
          <w:color w:val="375AAF" w:themeColor="accent4" w:themeShade="BF"/>
          <w:sz w:val="28"/>
          <w:szCs w:val="28"/>
        </w:rPr>
        <w:t>Dual Party Relay Fund</w:t>
      </w:r>
      <w:r w:rsidRPr="00764C49">
        <w:rPr>
          <w:rStyle w:val="BookTitle"/>
          <w:color w:val="002060"/>
          <w:sz w:val="28"/>
          <w:szCs w:val="28"/>
        </w:rPr>
        <w:t xml:space="preserve"> (</w:t>
      </w:r>
      <w:hyperlink r:id="rId17" w:history="1">
        <w:r w:rsidR="006E2A24" w:rsidRPr="00E8069D">
          <w:rPr>
            <w:rStyle w:val="Hyperlink"/>
            <w:spacing w:val="5"/>
            <w:sz w:val="28"/>
            <w:szCs w:val="28"/>
          </w:rPr>
          <w:t>Act</w:t>
        </w:r>
        <w:r w:rsidR="00BA66D2" w:rsidRPr="00E8069D">
          <w:rPr>
            <w:rStyle w:val="Hyperlink"/>
            <w:spacing w:val="5"/>
            <w:sz w:val="28"/>
            <w:szCs w:val="28"/>
          </w:rPr>
          <w:t xml:space="preserve"> No. 2011-567</w:t>
        </w:r>
      </w:hyperlink>
      <w:r w:rsidRPr="00764C49">
        <w:rPr>
          <w:rStyle w:val="BookTitle"/>
          <w:color w:val="002060"/>
          <w:sz w:val="28"/>
          <w:szCs w:val="28"/>
        </w:rPr>
        <w:t>)</w:t>
      </w:r>
    </w:p>
    <w:p w14:paraId="1F79495E" w14:textId="0967BA09" w:rsidR="00797652" w:rsidRDefault="0094740F" w:rsidP="00F7452E">
      <w:pPr>
        <w:rPr>
          <w:rStyle w:val="BookTitle"/>
          <w:color w:val="000090"/>
          <w:sz w:val="28"/>
          <w:szCs w:val="28"/>
        </w:rPr>
      </w:pPr>
      <w:r>
        <w:t xml:space="preserve">Requires </w:t>
      </w:r>
      <w:r w:rsidR="00BC6868">
        <w:t xml:space="preserve">the Public Service Commission </w:t>
      </w:r>
      <w:r>
        <w:t xml:space="preserve">to </w:t>
      </w:r>
      <w:r w:rsidR="003E6ECC" w:rsidRPr="00487718">
        <w:t>transfer</w:t>
      </w:r>
      <w:r w:rsidR="00BC6868">
        <w:t xml:space="preserve"> </w:t>
      </w:r>
      <w:r w:rsidRPr="00487718">
        <w:t xml:space="preserve">$30 million </w:t>
      </w:r>
      <w:r w:rsidR="00BC6868">
        <w:t>from the</w:t>
      </w:r>
      <w:r w:rsidR="00BC6868" w:rsidRPr="00487718">
        <w:t xml:space="preserve"> </w:t>
      </w:r>
      <w:r w:rsidR="00D140E1" w:rsidRPr="00487718">
        <w:t>Dual-Party</w:t>
      </w:r>
      <w:r w:rsidR="00BC6868" w:rsidRPr="00487718">
        <w:t xml:space="preserve"> Relay Fund</w:t>
      </w:r>
      <w:r w:rsidR="003E6ECC" w:rsidRPr="00487718">
        <w:t xml:space="preserve"> to the Education Trust Fund</w:t>
      </w:r>
      <w:r w:rsidR="00BC6868">
        <w:t xml:space="preserve">. </w:t>
      </w:r>
      <w:r w:rsidR="00C824C2">
        <w:t xml:space="preserve"> </w:t>
      </w:r>
      <w:r w:rsidR="00084D6A">
        <w:t>Funds from this transfer are part of the ETF FY12 budget.</w:t>
      </w:r>
    </w:p>
    <w:p w14:paraId="1F79495F" w14:textId="77777777" w:rsidR="00FA49C1" w:rsidRDefault="00FA49C1" w:rsidP="00F7452E">
      <w:pPr>
        <w:rPr>
          <w:rStyle w:val="BookTitle"/>
          <w:color w:val="002060"/>
        </w:rPr>
      </w:pPr>
    </w:p>
    <w:p w14:paraId="1F794960" w14:textId="31F2C12D" w:rsidR="00797652" w:rsidRPr="00764C49" w:rsidRDefault="00797652" w:rsidP="00F7452E">
      <w:pPr>
        <w:rPr>
          <w:rStyle w:val="BookTitle"/>
          <w:color w:val="002060"/>
          <w:sz w:val="28"/>
          <w:szCs w:val="28"/>
        </w:rPr>
      </w:pPr>
      <w:r w:rsidRPr="00E0121F">
        <w:rPr>
          <w:rStyle w:val="BookTitle"/>
          <w:color w:val="375AAF" w:themeColor="accent4" w:themeShade="BF"/>
          <w:sz w:val="28"/>
          <w:szCs w:val="28"/>
        </w:rPr>
        <w:t>Fractional Units</w:t>
      </w:r>
      <w:r w:rsidRPr="00764C49">
        <w:rPr>
          <w:rStyle w:val="BookTitle"/>
          <w:color w:val="002060"/>
          <w:sz w:val="28"/>
          <w:szCs w:val="28"/>
        </w:rPr>
        <w:t xml:space="preserve"> (</w:t>
      </w:r>
      <w:hyperlink r:id="rId18" w:history="1">
        <w:r w:rsidRPr="00EC1A66">
          <w:rPr>
            <w:rStyle w:val="Hyperlink"/>
            <w:spacing w:val="5"/>
            <w:sz w:val="28"/>
            <w:szCs w:val="28"/>
          </w:rPr>
          <w:t>Act No. 2011-264</w:t>
        </w:r>
      </w:hyperlink>
      <w:r w:rsidRPr="00764C49">
        <w:rPr>
          <w:rStyle w:val="BookTitle"/>
          <w:color w:val="002060"/>
          <w:sz w:val="28"/>
          <w:szCs w:val="28"/>
        </w:rPr>
        <w:t>)</w:t>
      </w:r>
    </w:p>
    <w:p w14:paraId="1F794961" w14:textId="77777777" w:rsidR="00BC6868" w:rsidRPr="00BC6868" w:rsidRDefault="00BC6868" w:rsidP="00BC6868">
      <w:pPr>
        <w:rPr>
          <w:rStyle w:val="BookTitle"/>
          <w:b w:val="0"/>
          <w:bCs w:val="0"/>
          <w:smallCaps w:val="0"/>
          <w:spacing w:val="0"/>
        </w:rPr>
      </w:pPr>
      <w:r>
        <w:t xml:space="preserve">Clarifies that fractional units </w:t>
      </w:r>
      <w:r w:rsidR="00FA49C1">
        <w:t>shall be</w:t>
      </w:r>
      <w:r>
        <w:t xml:space="preserve"> pooled by the local superintendent/board to achieve additional whole units for the school system. Any “left-over” fractional amount that cannot be pooled to complete a whole unit is retained by the system for use as salaries and ben</w:t>
      </w:r>
      <w:r w:rsidR="00FA49C1">
        <w:t xml:space="preserve">efits.  This applies to </w:t>
      </w:r>
      <w:r>
        <w:t>fractional “teacher” units as well as “instructional support” (librarians, assistant principals, and counselors)</w:t>
      </w:r>
      <w:r w:rsidR="00FA49C1">
        <w:t xml:space="preserve"> units.</w:t>
      </w:r>
    </w:p>
    <w:p w14:paraId="1F794962" w14:textId="77777777" w:rsidR="00797652" w:rsidRDefault="00797652" w:rsidP="00F7452E">
      <w:pPr>
        <w:rPr>
          <w:rStyle w:val="BookTitle"/>
          <w:color w:val="000090"/>
          <w:sz w:val="28"/>
          <w:szCs w:val="28"/>
        </w:rPr>
      </w:pPr>
    </w:p>
    <w:p w14:paraId="1F794963" w14:textId="23F3E7C2" w:rsidR="0054563A" w:rsidRPr="00764C49" w:rsidRDefault="0054563A" w:rsidP="00F7452E">
      <w:pPr>
        <w:rPr>
          <w:rStyle w:val="BookTitle"/>
          <w:color w:val="002060"/>
          <w:sz w:val="28"/>
          <w:szCs w:val="28"/>
        </w:rPr>
      </w:pPr>
      <w:r w:rsidRPr="00E0121F">
        <w:rPr>
          <w:rStyle w:val="BookTitle"/>
          <w:color w:val="375AAF" w:themeColor="accent4" w:themeShade="BF"/>
          <w:sz w:val="28"/>
          <w:szCs w:val="28"/>
        </w:rPr>
        <w:t>Immigration Bill</w:t>
      </w:r>
      <w:r w:rsidR="00797652" w:rsidRPr="00764C49">
        <w:rPr>
          <w:rStyle w:val="BookTitle"/>
          <w:color w:val="002060"/>
          <w:sz w:val="28"/>
          <w:szCs w:val="28"/>
        </w:rPr>
        <w:t xml:space="preserve"> </w:t>
      </w:r>
      <w:r w:rsidRPr="00764C49">
        <w:rPr>
          <w:rStyle w:val="BookTitle"/>
          <w:color w:val="002060"/>
          <w:sz w:val="28"/>
          <w:szCs w:val="28"/>
        </w:rPr>
        <w:t>(</w:t>
      </w:r>
      <w:hyperlink r:id="rId19" w:history="1">
        <w:r w:rsidRPr="00E371CA">
          <w:rPr>
            <w:rStyle w:val="Hyperlink"/>
            <w:spacing w:val="5"/>
            <w:sz w:val="28"/>
            <w:szCs w:val="28"/>
          </w:rPr>
          <w:t>Act</w:t>
        </w:r>
        <w:r w:rsidR="00DB79A8" w:rsidRPr="00E371CA">
          <w:rPr>
            <w:rStyle w:val="Hyperlink"/>
            <w:spacing w:val="5"/>
            <w:sz w:val="28"/>
            <w:szCs w:val="28"/>
          </w:rPr>
          <w:t xml:space="preserve"> No. </w:t>
        </w:r>
        <w:r w:rsidRPr="00E371CA">
          <w:rPr>
            <w:rStyle w:val="Hyperlink"/>
            <w:spacing w:val="5"/>
            <w:sz w:val="28"/>
            <w:szCs w:val="28"/>
          </w:rPr>
          <w:t xml:space="preserve"> 2011- </w:t>
        </w:r>
        <w:r w:rsidR="00BA66D2" w:rsidRPr="00E371CA">
          <w:rPr>
            <w:rStyle w:val="Hyperlink"/>
            <w:spacing w:val="5"/>
            <w:sz w:val="28"/>
            <w:szCs w:val="28"/>
          </w:rPr>
          <w:t>535</w:t>
        </w:r>
      </w:hyperlink>
      <w:r w:rsidRPr="00764C49">
        <w:rPr>
          <w:rStyle w:val="BookTitle"/>
          <w:color w:val="002060"/>
          <w:sz w:val="28"/>
          <w:szCs w:val="28"/>
        </w:rPr>
        <w:t xml:space="preserve">) </w:t>
      </w:r>
    </w:p>
    <w:p w14:paraId="1F794964" w14:textId="77777777" w:rsidR="0054563A" w:rsidRPr="007D438D" w:rsidRDefault="00084D6A" w:rsidP="00F7452E">
      <w:r>
        <w:t>Relates</w:t>
      </w:r>
      <w:r w:rsidR="0054563A" w:rsidRPr="00F17869">
        <w:t xml:space="preserve"> to illegal immigration </w:t>
      </w:r>
      <w:r w:rsidR="0054563A">
        <w:t xml:space="preserve">and </w:t>
      </w:r>
      <w:r>
        <w:t>requires</w:t>
      </w:r>
      <w:r w:rsidR="0054563A" w:rsidRPr="00F17869">
        <w:t xml:space="preserve"> public schools to determine the citizenship and immigration status of students enrolling; require</w:t>
      </w:r>
      <w:r>
        <w:t>s</w:t>
      </w:r>
      <w:r w:rsidR="0054563A" w:rsidRPr="00F17869">
        <w:t xml:space="preserve"> school districts to compile certain data and submit reports to the State Board of Education; </w:t>
      </w:r>
      <w:r>
        <w:t xml:space="preserve">and, </w:t>
      </w:r>
      <w:r w:rsidR="0054563A" w:rsidRPr="00F17869">
        <w:t>require</w:t>
      </w:r>
      <w:r>
        <w:t>s</w:t>
      </w:r>
      <w:r w:rsidR="0054563A" w:rsidRPr="00F17869">
        <w:t xml:space="preserve"> the State Board of Education to submit an annual report to the Legislature</w:t>
      </w:r>
      <w:r>
        <w:t xml:space="preserve"> and the Legislative Fiscal Office</w:t>
      </w:r>
      <w:r w:rsidR="0054563A" w:rsidRPr="00F17869">
        <w:t>.</w:t>
      </w:r>
      <w:r w:rsidR="007D438D">
        <w:t xml:space="preserve"> </w:t>
      </w:r>
      <w:r w:rsidR="007D438D" w:rsidRPr="007D438D">
        <w:t>Further requires that all public employers enro</w:t>
      </w:r>
      <w:r w:rsidR="007D438D">
        <w:t xml:space="preserve">ll in </w:t>
      </w:r>
      <w:proofErr w:type="spellStart"/>
      <w:r w:rsidR="007D438D">
        <w:t>E-verify</w:t>
      </w:r>
      <w:proofErr w:type="spellEnd"/>
      <w:r w:rsidR="007D438D">
        <w:t xml:space="preserve"> by April 1, 2012.</w:t>
      </w:r>
    </w:p>
    <w:p w14:paraId="1F794965" w14:textId="77777777" w:rsidR="003E6ECC" w:rsidRDefault="003E6ECC" w:rsidP="00F7452E">
      <w:pPr>
        <w:rPr>
          <w:rStyle w:val="BookTitle"/>
          <w:color w:val="000090"/>
          <w:sz w:val="28"/>
          <w:szCs w:val="28"/>
        </w:rPr>
      </w:pPr>
    </w:p>
    <w:p w14:paraId="1F794966" w14:textId="424AF227" w:rsidR="00797652" w:rsidRPr="00764C49" w:rsidRDefault="00797652" w:rsidP="00F7452E">
      <w:pPr>
        <w:rPr>
          <w:rStyle w:val="BookTitle"/>
          <w:color w:val="002060"/>
          <w:sz w:val="28"/>
          <w:szCs w:val="28"/>
        </w:rPr>
      </w:pPr>
      <w:r w:rsidRPr="00E0121F">
        <w:rPr>
          <w:rStyle w:val="BookTitle"/>
          <w:color w:val="375AAF" w:themeColor="accent4" w:themeShade="BF"/>
          <w:sz w:val="28"/>
          <w:szCs w:val="28"/>
        </w:rPr>
        <w:t>Interest Bearing Warrants</w:t>
      </w:r>
      <w:r w:rsidRPr="00764C49">
        <w:rPr>
          <w:rStyle w:val="BookTitle"/>
          <w:color w:val="002060"/>
          <w:sz w:val="28"/>
          <w:szCs w:val="28"/>
        </w:rPr>
        <w:t xml:space="preserve"> (</w:t>
      </w:r>
      <w:hyperlink r:id="rId20" w:history="1">
        <w:r w:rsidR="00DB79A8" w:rsidRPr="00C0649E">
          <w:rPr>
            <w:rStyle w:val="Hyperlink"/>
            <w:spacing w:val="5"/>
            <w:sz w:val="28"/>
            <w:szCs w:val="28"/>
          </w:rPr>
          <w:t>Act</w:t>
        </w:r>
        <w:r w:rsidR="00BA66D2" w:rsidRPr="00C0649E">
          <w:rPr>
            <w:rStyle w:val="Hyperlink"/>
            <w:spacing w:val="5"/>
            <w:sz w:val="28"/>
            <w:szCs w:val="28"/>
          </w:rPr>
          <w:t xml:space="preserve"> No. 2011-631</w:t>
        </w:r>
      </w:hyperlink>
      <w:r w:rsidRPr="00764C49">
        <w:rPr>
          <w:rStyle w:val="BookTitle"/>
          <w:color w:val="002060"/>
          <w:sz w:val="28"/>
          <w:szCs w:val="28"/>
        </w:rPr>
        <w:t>)</w:t>
      </w:r>
    </w:p>
    <w:p w14:paraId="1F794967" w14:textId="77777777" w:rsidR="009418C0" w:rsidRDefault="009418C0" w:rsidP="009418C0">
      <w:r>
        <w:t>Authorizes</w:t>
      </w:r>
      <w:r w:rsidRPr="00376C9A">
        <w:t xml:space="preserve"> </w:t>
      </w:r>
      <w:r w:rsidR="00FA49C1">
        <w:t>board</w:t>
      </w:r>
      <w:r w:rsidR="00084D6A">
        <w:t>s</w:t>
      </w:r>
      <w:r w:rsidRPr="00376C9A">
        <w:t xml:space="preserve"> of education in the State of Alabama to issue and sell</w:t>
      </w:r>
      <w:r w:rsidR="00084D6A">
        <w:t xml:space="preserve">, </w:t>
      </w:r>
      <w:r w:rsidRPr="00376C9A">
        <w:t xml:space="preserve">upon written approval of the State Superintendent of Education, warrants payable from, and secured by a pledge of, revenues of such board which are lawfully available </w:t>
      </w:r>
      <w:r>
        <w:t xml:space="preserve">and are designated by the board </w:t>
      </w:r>
      <w:r w:rsidRPr="00376C9A">
        <w:t>for educational and public school purposes</w:t>
      </w:r>
      <w:r>
        <w:t>,</w:t>
      </w:r>
      <w:r w:rsidRPr="00376C9A">
        <w:t xml:space="preserve"> regardless of whether such indebtedness was incurred under this act or under other provisions of law and regardless of whether such indebtedness is a direct or indirect obligation of such board</w:t>
      </w:r>
      <w:r>
        <w:t xml:space="preserve"> </w:t>
      </w:r>
      <w:r w:rsidRPr="004A597F">
        <w:t>and to authorize counties and municipalities to provide financial and other assistance to boards of education within the jurisdiction thereof</w:t>
      </w:r>
      <w:r w:rsidRPr="00376C9A">
        <w:t>.</w:t>
      </w:r>
    </w:p>
    <w:p w14:paraId="1F794968" w14:textId="77777777" w:rsidR="00797652" w:rsidRDefault="00797652" w:rsidP="00F7452E">
      <w:pPr>
        <w:rPr>
          <w:rStyle w:val="BookTitle"/>
          <w:color w:val="000090"/>
          <w:sz w:val="28"/>
          <w:szCs w:val="28"/>
        </w:rPr>
      </w:pPr>
    </w:p>
    <w:p w14:paraId="1F794969" w14:textId="7E816815" w:rsidR="002E7400" w:rsidRPr="00764C49" w:rsidRDefault="002E7400" w:rsidP="00F7452E">
      <w:pPr>
        <w:rPr>
          <w:rStyle w:val="BookTitle"/>
          <w:color w:val="002060"/>
          <w:sz w:val="28"/>
          <w:szCs w:val="28"/>
        </w:rPr>
      </w:pPr>
      <w:r w:rsidRPr="00E0121F">
        <w:rPr>
          <w:rStyle w:val="BookTitle"/>
          <w:color w:val="375AAF" w:themeColor="accent4" w:themeShade="BF"/>
          <w:sz w:val="28"/>
          <w:szCs w:val="28"/>
        </w:rPr>
        <w:t>Job Posting/Interim Superintendent clarified</w:t>
      </w:r>
      <w:r w:rsidR="00BA66D2" w:rsidRPr="00E0121F">
        <w:rPr>
          <w:rStyle w:val="BookTitle"/>
          <w:color w:val="375AAF" w:themeColor="accent4" w:themeShade="BF"/>
          <w:sz w:val="28"/>
          <w:szCs w:val="28"/>
        </w:rPr>
        <w:t xml:space="preserve"> </w:t>
      </w:r>
      <w:r w:rsidR="00FA49C1" w:rsidRPr="00E0121F">
        <w:rPr>
          <w:rStyle w:val="BookTitle"/>
          <w:color w:val="375AAF" w:themeColor="accent4" w:themeShade="BF"/>
          <w:sz w:val="28"/>
          <w:szCs w:val="28"/>
        </w:rPr>
        <w:t>(</w:t>
      </w:r>
      <w:hyperlink r:id="rId21" w:history="1">
        <w:r w:rsidR="00DB79A8" w:rsidRPr="00C935CF">
          <w:rPr>
            <w:rStyle w:val="Hyperlink"/>
            <w:spacing w:val="5"/>
            <w:sz w:val="28"/>
            <w:szCs w:val="28"/>
          </w:rPr>
          <w:t>Act</w:t>
        </w:r>
        <w:r w:rsidR="00BA66D2" w:rsidRPr="00C935CF">
          <w:rPr>
            <w:rStyle w:val="Hyperlink"/>
            <w:spacing w:val="5"/>
            <w:sz w:val="28"/>
            <w:szCs w:val="28"/>
          </w:rPr>
          <w:t xml:space="preserve"> No. 2011-573</w:t>
        </w:r>
      </w:hyperlink>
      <w:r w:rsidR="00FA49C1" w:rsidRPr="00764C49">
        <w:rPr>
          <w:rStyle w:val="BookTitle"/>
          <w:color w:val="002060"/>
          <w:sz w:val="28"/>
          <w:szCs w:val="28"/>
        </w:rPr>
        <w:t>)</w:t>
      </w:r>
    </w:p>
    <w:p w14:paraId="1F79496A" w14:textId="77777777" w:rsidR="002E7400" w:rsidRDefault="00FA49C1" w:rsidP="009418C0">
      <w:r>
        <w:t>Extends</w:t>
      </w:r>
      <w:r w:rsidR="009418C0">
        <w:t xml:space="preserve"> the deadline for the local board of education to fill the position of superintendent from 120 to 180 days and provide</w:t>
      </w:r>
      <w:r w:rsidR="00C824C2">
        <w:t>s</w:t>
      </w:r>
      <w:r w:rsidR="009418C0">
        <w:t xml:space="preserve"> for the appointment of an interim superintendent of education</w:t>
      </w:r>
      <w:r w:rsidR="00C824C2">
        <w:t xml:space="preserve">; requires an announcement in a regular or special meeting within 90 of the occurrence of a </w:t>
      </w:r>
      <w:r w:rsidR="00C824C2">
        <w:lastRenderedPageBreak/>
        <w:t>vacancy, a proposed process and timeline for posting and selecting a superintendent; and, whenever a vacancy occurs in the position of an appointed county superintendent of education the county board of education may appoint an interim superintendent to serve up to 180 days. The interim superintendent of education must me</w:t>
      </w:r>
      <w:r w:rsidR="00280317">
        <w:t>et minimum criteria required</w:t>
      </w:r>
      <w:r w:rsidR="00C824C2">
        <w:t xml:space="preserve"> to serve as a superintendent of education</w:t>
      </w:r>
      <w:r w:rsidR="00764C49">
        <w:t>.</w:t>
      </w:r>
    </w:p>
    <w:p w14:paraId="1F79496B" w14:textId="77777777" w:rsidR="009418C0" w:rsidRDefault="009418C0" w:rsidP="00F7452E">
      <w:pPr>
        <w:rPr>
          <w:rStyle w:val="BookTitle"/>
          <w:color w:val="002060"/>
        </w:rPr>
      </w:pPr>
    </w:p>
    <w:p w14:paraId="1F79496C" w14:textId="4A8D7623" w:rsidR="00991360" w:rsidRDefault="00797652" w:rsidP="00F7452E">
      <w:pPr>
        <w:rPr>
          <w:rStyle w:val="BookTitle"/>
          <w:color w:val="002060"/>
        </w:rPr>
      </w:pPr>
      <w:r w:rsidRPr="00E0121F">
        <w:rPr>
          <w:rStyle w:val="BookTitle"/>
          <w:color w:val="375AAF" w:themeColor="accent4" w:themeShade="BF"/>
          <w:sz w:val="28"/>
          <w:szCs w:val="28"/>
        </w:rPr>
        <w:t>Multi State Compact</w:t>
      </w:r>
      <w:r w:rsidRPr="00764C49">
        <w:rPr>
          <w:rStyle w:val="BookTitle"/>
          <w:color w:val="002060"/>
          <w:sz w:val="28"/>
          <w:szCs w:val="28"/>
        </w:rPr>
        <w:t xml:space="preserve"> (</w:t>
      </w:r>
      <w:hyperlink r:id="rId22" w:history="1">
        <w:r w:rsidR="00DB79A8" w:rsidRPr="009C0DBC">
          <w:rPr>
            <w:rStyle w:val="Hyperlink"/>
            <w:spacing w:val="5"/>
            <w:sz w:val="28"/>
            <w:szCs w:val="28"/>
          </w:rPr>
          <w:t>Act</w:t>
        </w:r>
        <w:r w:rsidR="00BA66D2" w:rsidRPr="009C0DBC">
          <w:rPr>
            <w:rStyle w:val="Hyperlink"/>
            <w:spacing w:val="5"/>
            <w:sz w:val="28"/>
            <w:szCs w:val="28"/>
          </w:rPr>
          <w:t xml:space="preserve"> No. 2011-</w:t>
        </w:r>
        <w:r w:rsidR="002E7400" w:rsidRPr="009C0DBC">
          <w:rPr>
            <w:rStyle w:val="Hyperlink"/>
            <w:spacing w:val="5"/>
            <w:sz w:val="28"/>
            <w:szCs w:val="28"/>
          </w:rPr>
          <w:t xml:space="preserve"> </w:t>
        </w:r>
        <w:r w:rsidR="00BA66D2" w:rsidRPr="009C0DBC">
          <w:rPr>
            <w:rStyle w:val="Hyperlink"/>
            <w:spacing w:val="5"/>
            <w:sz w:val="28"/>
            <w:szCs w:val="28"/>
          </w:rPr>
          <w:t>616</w:t>
        </w:r>
      </w:hyperlink>
      <w:r w:rsidRPr="00764C49">
        <w:rPr>
          <w:rStyle w:val="BookTitle"/>
          <w:color w:val="002060"/>
          <w:sz w:val="28"/>
          <w:szCs w:val="28"/>
        </w:rPr>
        <w:t>)</w:t>
      </w:r>
      <w:r w:rsidRPr="00764C49">
        <w:rPr>
          <w:rStyle w:val="BookTitle"/>
          <w:color w:val="002060"/>
          <w:sz w:val="28"/>
          <w:szCs w:val="28"/>
        </w:rPr>
        <w:br/>
      </w:r>
      <w:r w:rsidRPr="0017594D">
        <w:t>This bill provides about $15 million for the ETF FY12 budget</w:t>
      </w:r>
      <w:r w:rsidR="009418C0">
        <w:t xml:space="preserve"> by</w:t>
      </w:r>
      <w:r w:rsidR="009418C0">
        <w:rPr>
          <w:lang w:eastAsia="ja-JP"/>
        </w:rPr>
        <w:t xml:space="preserve"> changing the sourcing rules for sales other than sales of tangible personal property such that the sale is in this state if the taxpayer's market is in this state; and to increase the weight given the sales factor in the apportionment of business income.</w:t>
      </w:r>
    </w:p>
    <w:p w14:paraId="1F79496D" w14:textId="77777777" w:rsidR="00764C49" w:rsidRDefault="00764C49" w:rsidP="00F7452E">
      <w:pPr>
        <w:rPr>
          <w:rStyle w:val="BookTitle"/>
          <w:color w:val="002060"/>
        </w:rPr>
      </w:pPr>
    </w:p>
    <w:p w14:paraId="1F79496E" w14:textId="498DD7D2" w:rsidR="002E7400" w:rsidRPr="00DB79A8" w:rsidRDefault="00FA49C1" w:rsidP="007242FA">
      <w:pPr>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BookTitle"/>
          <w:b w:val="0"/>
          <w:bCs w:val="0"/>
          <w:smallCaps w:val="0"/>
          <w:spacing w:val="0"/>
          <w:sz w:val="20"/>
          <w:szCs w:val="20"/>
          <w:lang w:eastAsia="ja-JP"/>
        </w:rPr>
      </w:pPr>
      <w:r w:rsidRPr="00E0121F">
        <w:rPr>
          <w:rStyle w:val="BookTitle"/>
          <w:color w:val="375AAF" w:themeColor="accent4" w:themeShade="BF"/>
          <w:sz w:val="28"/>
          <w:szCs w:val="28"/>
        </w:rPr>
        <w:t xml:space="preserve">PEEHIP </w:t>
      </w:r>
      <w:r w:rsidR="002E7400" w:rsidRPr="00E0121F">
        <w:rPr>
          <w:rStyle w:val="BookTitle"/>
          <w:color w:val="375AAF" w:themeColor="accent4" w:themeShade="BF"/>
          <w:sz w:val="28"/>
          <w:szCs w:val="28"/>
        </w:rPr>
        <w:t>Changes</w:t>
      </w:r>
      <w:r w:rsidR="00BA66D2" w:rsidRPr="00764C49">
        <w:rPr>
          <w:rStyle w:val="BookTitle"/>
          <w:color w:val="002060"/>
          <w:sz w:val="28"/>
          <w:szCs w:val="28"/>
        </w:rPr>
        <w:t xml:space="preserve"> </w:t>
      </w:r>
      <w:r w:rsidR="007242FA" w:rsidRPr="00764C49">
        <w:rPr>
          <w:rStyle w:val="BookTitle"/>
          <w:color w:val="002060"/>
          <w:sz w:val="28"/>
          <w:szCs w:val="28"/>
        </w:rPr>
        <w:t>(</w:t>
      </w:r>
      <w:hyperlink r:id="rId23" w:history="1">
        <w:r w:rsidR="007242FA" w:rsidRPr="00914E09">
          <w:rPr>
            <w:rStyle w:val="Hyperlink"/>
            <w:spacing w:val="5"/>
            <w:sz w:val="28"/>
            <w:szCs w:val="28"/>
          </w:rPr>
          <w:t>Act No. 2011-704</w:t>
        </w:r>
      </w:hyperlink>
      <w:r w:rsidR="007242FA" w:rsidRPr="00764C49">
        <w:rPr>
          <w:rStyle w:val="BookTitle"/>
          <w:color w:val="002060"/>
          <w:sz w:val="28"/>
          <w:szCs w:val="28"/>
        </w:rPr>
        <w:t>)</w:t>
      </w:r>
    </w:p>
    <w:tbl>
      <w:tblPr>
        <w:tblStyle w:val="TableGrid"/>
        <w:tblW w:w="9738" w:type="dxa"/>
        <w:tblLook w:val="04A0" w:firstRow="1" w:lastRow="0" w:firstColumn="1" w:lastColumn="0" w:noHBand="0" w:noVBand="1"/>
      </w:tblPr>
      <w:tblGrid>
        <w:gridCol w:w="3168"/>
        <w:gridCol w:w="6570"/>
      </w:tblGrid>
      <w:tr w:rsidR="009418C0" w:rsidRPr="00FA49C1" w14:paraId="1F794972" w14:textId="77777777" w:rsidTr="009418C0">
        <w:tc>
          <w:tcPr>
            <w:tcW w:w="3168" w:type="dxa"/>
          </w:tcPr>
          <w:p w14:paraId="1F79496F" w14:textId="77777777" w:rsidR="009418C0" w:rsidRPr="00FA49C1" w:rsidRDefault="009418C0" w:rsidP="009418C0">
            <w:pPr>
              <w:rPr>
                <w:b/>
                <w:bCs/>
                <w:sz w:val="24"/>
                <w:szCs w:val="24"/>
              </w:rPr>
            </w:pPr>
            <w:r w:rsidRPr="00FA49C1">
              <w:rPr>
                <w:b/>
                <w:bCs/>
                <w:sz w:val="24"/>
                <w:szCs w:val="24"/>
              </w:rPr>
              <w:t>Retire after September 30, 2005 but before January 1, 2012</w:t>
            </w:r>
          </w:p>
        </w:tc>
        <w:tc>
          <w:tcPr>
            <w:tcW w:w="6570" w:type="dxa"/>
          </w:tcPr>
          <w:p w14:paraId="1F794970" w14:textId="77777777" w:rsidR="009418C0" w:rsidRPr="00FA49C1" w:rsidRDefault="009418C0" w:rsidP="009418C0">
            <w:pPr>
              <w:rPr>
                <w:sz w:val="24"/>
                <w:szCs w:val="24"/>
              </w:rPr>
            </w:pPr>
            <w:r w:rsidRPr="00FA49C1">
              <w:rPr>
                <w:sz w:val="24"/>
                <w:szCs w:val="24"/>
              </w:rPr>
              <w:t>Employer contribution shall be reduced by 2% for each year of s</w:t>
            </w:r>
            <w:r w:rsidR="00F05293">
              <w:rPr>
                <w:sz w:val="24"/>
                <w:szCs w:val="24"/>
              </w:rPr>
              <w:t>ervice</w:t>
            </w:r>
            <w:r w:rsidRPr="00FA49C1">
              <w:rPr>
                <w:sz w:val="24"/>
                <w:szCs w:val="24"/>
              </w:rPr>
              <w:t xml:space="preserve"> less than 25 and increased by 2% for each year of service over 25 </w:t>
            </w:r>
            <w:proofErr w:type="gramStart"/>
            <w:r w:rsidRPr="00FA49C1">
              <w:rPr>
                <w:sz w:val="24"/>
                <w:szCs w:val="24"/>
              </w:rPr>
              <w:t>subject</w:t>
            </w:r>
            <w:proofErr w:type="gramEnd"/>
            <w:r w:rsidRPr="00FA49C1">
              <w:rPr>
                <w:sz w:val="24"/>
                <w:szCs w:val="24"/>
              </w:rPr>
              <w:t xml:space="preserve"> to adjustment by the board for changes in Medicare premium costs re</w:t>
            </w:r>
            <w:r w:rsidR="006935DC" w:rsidRPr="00FA49C1">
              <w:rPr>
                <w:sz w:val="24"/>
                <w:szCs w:val="24"/>
              </w:rPr>
              <w:t xml:space="preserve">quired to be paid by a retiree. </w:t>
            </w:r>
            <w:r w:rsidRPr="00FA49C1">
              <w:rPr>
                <w:sz w:val="24"/>
                <w:szCs w:val="24"/>
              </w:rPr>
              <w:t>Employer cost cannot exceed 100% of the total health insurance premium cost for the retiree.</w:t>
            </w:r>
          </w:p>
          <w:p w14:paraId="1F794971" w14:textId="77777777" w:rsidR="00FA49C1" w:rsidRPr="00FA49C1" w:rsidRDefault="00FA49C1" w:rsidP="009418C0">
            <w:pPr>
              <w:rPr>
                <w:sz w:val="24"/>
                <w:szCs w:val="24"/>
              </w:rPr>
            </w:pPr>
          </w:p>
        </w:tc>
      </w:tr>
      <w:tr w:rsidR="009418C0" w:rsidRPr="00FA49C1" w14:paraId="1F794976" w14:textId="77777777" w:rsidTr="009418C0">
        <w:tc>
          <w:tcPr>
            <w:tcW w:w="3168" w:type="dxa"/>
          </w:tcPr>
          <w:p w14:paraId="1F794973" w14:textId="77777777" w:rsidR="009418C0" w:rsidRPr="00FA49C1" w:rsidRDefault="009418C0" w:rsidP="009418C0">
            <w:pPr>
              <w:rPr>
                <w:sz w:val="24"/>
                <w:szCs w:val="24"/>
              </w:rPr>
            </w:pPr>
            <w:r w:rsidRPr="00FA49C1">
              <w:rPr>
                <w:b/>
                <w:bCs/>
                <w:sz w:val="24"/>
                <w:szCs w:val="24"/>
              </w:rPr>
              <w:t>Retire after December 31, 2011</w:t>
            </w:r>
          </w:p>
        </w:tc>
        <w:tc>
          <w:tcPr>
            <w:tcW w:w="6570" w:type="dxa"/>
          </w:tcPr>
          <w:p w14:paraId="1F794974" w14:textId="77777777" w:rsidR="009418C0" w:rsidRPr="00FA49C1" w:rsidRDefault="009418C0" w:rsidP="009418C0">
            <w:pPr>
              <w:rPr>
                <w:sz w:val="24"/>
                <w:szCs w:val="24"/>
              </w:rPr>
            </w:pPr>
            <w:r w:rsidRPr="00FA49C1">
              <w:rPr>
                <w:sz w:val="24"/>
                <w:szCs w:val="24"/>
              </w:rPr>
              <w:t xml:space="preserve">Employer contribution to the health insurance premium shall be </w:t>
            </w:r>
            <w:r w:rsidRPr="00FA49C1">
              <w:rPr>
                <w:b/>
                <w:bCs/>
                <w:sz w:val="24"/>
                <w:szCs w:val="24"/>
              </w:rPr>
              <w:t>reduced by 4% for each year of service less than 25 and increased by 2% for each year of service over 25</w:t>
            </w:r>
            <w:r w:rsidRPr="00FA49C1">
              <w:rPr>
                <w:sz w:val="24"/>
                <w:szCs w:val="24"/>
              </w:rPr>
              <w:t>, subject to adjustment by the board for changes in Medicare premium costs required to be paid by a retiree.</w:t>
            </w:r>
          </w:p>
          <w:p w14:paraId="1F794975" w14:textId="77777777" w:rsidR="00FA49C1" w:rsidRPr="00FA49C1" w:rsidRDefault="00FA49C1" w:rsidP="009418C0">
            <w:pPr>
              <w:rPr>
                <w:sz w:val="24"/>
                <w:szCs w:val="24"/>
              </w:rPr>
            </w:pPr>
          </w:p>
        </w:tc>
      </w:tr>
      <w:tr w:rsidR="009418C0" w:rsidRPr="00FA49C1" w14:paraId="1F79497B" w14:textId="77777777" w:rsidTr="009418C0">
        <w:tc>
          <w:tcPr>
            <w:tcW w:w="3168" w:type="dxa"/>
          </w:tcPr>
          <w:p w14:paraId="1F794977" w14:textId="77777777" w:rsidR="009418C0" w:rsidRPr="00FA49C1" w:rsidRDefault="009418C0" w:rsidP="009418C0">
            <w:pPr>
              <w:rPr>
                <w:sz w:val="24"/>
                <w:szCs w:val="24"/>
                <w:u w:val="single"/>
              </w:rPr>
            </w:pPr>
            <w:r w:rsidRPr="00FA49C1">
              <w:rPr>
                <w:b/>
                <w:bCs/>
                <w:sz w:val="24"/>
                <w:szCs w:val="24"/>
              </w:rPr>
              <w:t>Retire after December 31, 2011</w:t>
            </w:r>
          </w:p>
          <w:p w14:paraId="1F794978" w14:textId="77777777" w:rsidR="009418C0" w:rsidRPr="00FA49C1" w:rsidRDefault="009418C0" w:rsidP="009418C0">
            <w:pPr>
              <w:rPr>
                <w:sz w:val="24"/>
                <w:szCs w:val="24"/>
              </w:rPr>
            </w:pPr>
            <w:r w:rsidRPr="00FA49C1">
              <w:rPr>
                <w:sz w:val="24"/>
                <w:szCs w:val="24"/>
              </w:rPr>
              <w:t>not covered by Medicare, regardless of years of service,</w:t>
            </w:r>
          </w:p>
        </w:tc>
        <w:tc>
          <w:tcPr>
            <w:tcW w:w="6570" w:type="dxa"/>
          </w:tcPr>
          <w:p w14:paraId="1F794979" w14:textId="77777777" w:rsidR="009418C0" w:rsidRPr="00FA49C1" w:rsidRDefault="009418C0" w:rsidP="009418C0">
            <w:pPr>
              <w:rPr>
                <w:sz w:val="24"/>
                <w:szCs w:val="24"/>
              </w:rPr>
            </w:pPr>
            <w:r w:rsidRPr="00FA49C1">
              <w:rPr>
                <w:sz w:val="24"/>
                <w:szCs w:val="24"/>
              </w:rPr>
              <w:t xml:space="preserve">Employer contribution to the health insurance premium shall be </w:t>
            </w:r>
            <w:r w:rsidRPr="00FA49C1">
              <w:rPr>
                <w:b/>
                <w:bCs/>
                <w:sz w:val="24"/>
                <w:szCs w:val="24"/>
              </w:rPr>
              <w:t>reduced by a percentage equal to 1% multiplied by the difference between the Medicare entitlement age and the age of the employee at the time of retirement as determined by the board</w:t>
            </w:r>
            <w:r w:rsidRPr="00FA49C1">
              <w:rPr>
                <w:sz w:val="24"/>
                <w:szCs w:val="24"/>
              </w:rPr>
              <w:t>. This reduction in the employer contribution shall cease upon notification to the board of the attainment of Medicare coverage.</w:t>
            </w:r>
          </w:p>
          <w:p w14:paraId="1F79497A" w14:textId="77777777" w:rsidR="00FA49C1" w:rsidRPr="00FA49C1" w:rsidRDefault="00FA49C1" w:rsidP="009418C0">
            <w:pPr>
              <w:rPr>
                <w:sz w:val="24"/>
                <w:szCs w:val="24"/>
              </w:rPr>
            </w:pPr>
          </w:p>
        </w:tc>
      </w:tr>
      <w:tr w:rsidR="009418C0" w:rsidRPr="00FA49C1" w14:paraId="1F79497F" w14:textId="77777777" w:rsidTr="009418C0">
        <w:tc>
          <w:tcPr>
            <w:tcW w:w="3168" w:type="dxa"/>
          </w:tcPr>
          <w:p w14:paraId="1F79497C" w14:textId="77777777" w:rsidR="009418C0" w:rsidRPr="00FA49C1" w:rsidRDefault="009418C0" w:rsidP="009418C0">
            <w:pPr>
              <w:rPr>
                <w:b/>
                <w:sz w:val="24"/>
                <w:szCs w:val="24"/>
              </w:rPr>
            </w:pPr>
            <w:r w:rsidRPr="00FA49C1">
              <w:rPr>
                <w:b/>
                <w:sz w:val="24"/>
                <w:szCs w:val="24"/>
              </w:rPr>
              <w:t>No later than October 1, 2016</w:t>
            </w:r>
          </w:p>
        </w:tc>
        <w:tc>
          <w:tcPr>
            <w:tcW w:w="6570" w:type="dxa"/>
          </w:tcPr>
          <w:p w14:paraId="1F79497D" w14:textId="77777777" w:rsidR="009418C0" w:rsidRPr="00FA49C1" w:rsidRDefault="009418C0" w:rsidP="009418C0">
            <w:pPr>
              <w:rPr>
                <w:sz w:val="24"/>
                <w:szCs w:val="24"/>
              </w:rPr>
            </w:pPr>
            <w:r w:rsidRPr="00FA49C1">
              <w:rPr>
                <w:sz w:val="24"/>
                <w:szCs w:val="24"/>
              </w:rPr>
              <w:t>Employer contribution to the health insurance premium for employees who retire after December 31, 2011, shall not exceed the amount of the employer contribution to cover the cost of an active employee.</w:t>
            </w:r>
          </w:p>
          <w:p w14:paraId="1F79497E" w14:textId="77777777" w:rsidR="00FA49C1" w:rsidRPr="00FA49C1" w:rsidRDefault="00FA49C1" w:rsidP="009418C0">
            <w:pPr>
              <w:rPr>
                <w:sz w:val="24"/>
                <w:szCs w:val="24"/>
              </w:rPr>
            </w:pPr>
          </w:p>
        </w:tc>
      </w:tr>
      <w:tr w:rsidR="009418C0" w:rsidRPr="00FA49C1" w14:paraId="1F794985" w14:textId="77777777" w:rsidTr="009418C0">
        <w:tc>
          <w:tcPr>
            <w:tcW w:w="3168" w:type="dxa"/>
          </w:tcPr>
          <w:p w14:paraId="1F794980" w14:textId="77777777" w:rsidR="009418C0" w:rsidRPr="00FA49C1" w:rsidRDefault="009418C0" w:rsidP="009418C0">
            <w:pPr>
              <w:rPr>
                <w:b/>
                <w:sz w:val="24"/>
                <w:szCs w:val="24"/>
              </w:rPr>
            </w:pPr>
            <w:r w:rsidRPr="00FA49C1">
              <w:rPr>
                <w:b/>
                <w:sz w:val="24"/>
                <w:szCs w:val="24"/>
              </w:rPr>
              <w:t>DROP Participants</w:t>
            </w:r>
          </w:p>
        </w:tc>
        <w:tc>
          <w:tcPr>
            <w:tcW w:w="6570" w:type="dxa"/>
          </w:tcPr>
          <w:p w14:paraId="1F794981" w14:textId="77777777" w:rsidR="009418C0" w:rsidRPr="00FA49C1" w:rsidRDefault="009418C0" w:rsidP="009418C0">
            <w:pPr>
              <w:rPr>
                <w:bCs/>
                <w:sz w:val="24"/>
                <w:szCs w:val="24"/>
              </w:rPr>
            </w:pPr>
            <w:r w:rsidRPr="00FA49C1">
              <w:rPr>
                <w:bCs/>
                <w:sz w:val="24"/>
                <w:szCs w:val="24"/>
              </w:rPr>
              <w:t xml:space="preserve">The date the participant entered DROP is considered his or her retirement date for the purposes of the act adding this subsection only, provided that the DROP participant: </w:t>
            </w:r>
          </w:p>
          <w:p w14:paraId="1F794982" w14:textId="77777777" w:rsidR="009418C0" w:rsidRPr="00FA49C1" w:rsidRDefault="009418C0" w:rsidP="009418C0">
            <w:pPr>
              <w:rPr>
                <w:bCs/>
                <w:sz w:val="24"/>
                <w:szCs w:val="24"/>
              </w:rPr>
            </w:pPr>
            <w:r w:rsidRPr="00FA49C1">
              <w:rPr>
                <w:bCs/>
                <w:sz w:val="24"/>
                <w:szCs w:val="24"/>
              </w:rPr>
              <w:t xml:space="preserve">(1) Does not voluntarily terminate participation in DROP within the first 3 years; and </w:t>
            </w:r>
          </w:p>
          <w:p w14:paraId="1F794983" w14:textId="77777777" w:rsidR="00FA49C1" w:rsidRDefault="009418C0" w:rsidP="009418C0">
            <w:pPr>
              <w:rPr>
                <w:bCs/>
                <w:sz w:val="24"/>
                <w:szCs w:val="24"/>
              </w:rPr>
            </w:pPr>
            <w:r w:rsidRPr="00FA49C1">
              <w:rPr>
                <w:bCs/>
                <w:sz w:val="24"/>
                <w:szCs w:val="24"/>
              </w:rPr>
              <w:lastRenderedPageBreak/>
              <w:t>(2) Withdraws from service at the end of the DROP participation period.</w:t>
            </w:r>
          </w:p>
          <w:p w14:paraId="1F794984" w14:textId="77777777" w:rsidR="00BE58A0" w:rsidRPr="00764C49" w:rsidRDefault="00BE58A0" w:rsidP="009418C0">
            <w:pPr>
              <w:rPr>
                <w:bCs/>
                <w:sz w:val="24"/>
                <w:szCs w:val="24"/>
              </w:rPr>
            </w:pPr>
          </w:p>
        </w:tc>
      </w:tr>
    </w:tbl>
    <w:p w14:paraId="1F794987" w14:textId="77777777" w:rsidR="00DB79A8" w:rsidRDefault="00DB79A8" w:rsidP="00F7452E">
      <w:pPr>
        <w:rPr>
          <w:rStyle w:val="BookTitle"/>
          <w:color w:val="002060"/>
          <w:sz w:val="28"/>
          <w:szCs w:val="28"/>
        </w:rPr>
      </w:pPr>
    </w:p>
    <w:p w14:paraId="1F794988" w14:textId="7D9D6AD5" w:rsidR="003E6ECC" w:rsidRPr="00764C49" w:rsidRDefault="003E6ECC" w:rsidP="00F7452E">
      <w:pPr>
        <w:rPr>
          <w:rStyle w:val="BookTitle"/>
          <w:color w:val="002060"/>
          <w:sz w:val="28"/>
          <w:szCs w:val="28"/>
        </w:rPr>
      </w:pPr>
      <w:r w:rsidRPr="00E0121F">
        <w:rPr>
          <w:rStyle w:val="BookTitle"/>
          <w:color w:val="375AAF" w:themeColor="accent4" w:themeShade="BF"/>
          <w:sz w:val="28"/>
          <w:szCs w:val="28"/>
        </w:rPr>
        <w:t>Presidential Preference Primary Changed to March</w:t>
      </w:r>
      <w:r w:rsidR="00BA66D2" w:rsidRPr="00764C49">
        <w:rPr>
          <w:rStyle w:val="BookTitle"/>
          <w:color w:val="002060"/>
          <w:sz w:val="28"/>
          <w:szCs w:val="28"/>
        </w:rPr>
        <w:t xml:space="preserve"> (</w:t>
      </w:r>
      <w:hyperlink r:id="rId24" w:history="1">
        <w:r w:rsidR="00BA66D2" w:rsidRPr="00333B08">
          <w:rPr>
            <w:rStyle w:val="Hyperlink"/>
            <w:spacing w:val="5"/>
            <w:sz w:val="28"/>
            <w:szCs w:val="28"/>
          </w:rPr>
          <w:t>Act No. 2011-566</w:t>
        </w:r>
      </w:hyperlink>
      <w:r w:rsidR="00BA66D2" w:rsidRPr="00764C49">
        <w:rPr>
          <w:rStyle w:val="BookTitle"/>
          <w:color w:val="002060"/>
          <w:sz w:val="28"/>
          <w:szCs w:val="28"/>
        </w:rPr>
        <w:t>)</w:t>
      </w:r>
    </w:p>
    <w:p w14:paraId="1F794989" w14:textId="77777777" w:rsidR="003E6ECC" w:rsidRDefault="00764C49" w:rsidP="00F7452E">
      <w:r>
        <w:t>Moves</w:t>
      </w:r>
      <w:r w:rsidR="003E6ECC">
        <w:t xml:space="preserve"> the presidential preference primary to March, beginning in 2012, and will also move the regular primary election to March in presidential primary years. This will result in one less election during 2012 and every fourth year thereafter. </w:t>
      </w:r>
    </w:p>
    <w:p w14:paraId="1F79498A" w14:textId="77777777" w:rsidR="003E6ECC" w:rsidRDefault="003E6ECC" w:rsidP="00F7452E">
      <w:pPr>
        <w:rPr>
          <w:rStyle w:val="BookTitle"/>
          <w:color w:val="000090"/>
          <w:sz w:val="28"/>
          <w:szCs w:val="28"/>
        </w:rPr>
      </w:pPr>
    </w:p>
    <w:p w14:paraId="1F79498B" w14:textId="05DE1241" w:rsidR="00797652" w:rsidRPr="00764C49" w:rsidRDefault="009418C0" w:rsidP="00F7452E">
      <w:pPr>
        <w:rPr>
          <w:rStyle w:val="BookTitle"/>
          <w:color w:val="002060"/>
          <w:sz w:val="28"/>
          <w:szCs w:val="28"/>
        </w:rPr>
      </w:pPr>
      <w:r w:rsidRPr="000F7112">
        <w:rPr>
          <w:rStyle w:val="BookTitle"/>
          <w:color w:val="375AAF" w:themeColor="accent4" w:themeShade="BF"/>
          <w:sz w:val="28"/>
          <w:szCs w:val="28"/>
        </w:rPr>
        <w:t>PSF Used for Debt Service</w:t>
      </w:r>
      <w:r w:rsidRPr="00764C49">
        <w:rPr>
          <w:rStyle w:val="BookTitle"/>
          <w:color w:val="002060"/>
          <w:sz w:val="28"/>
          <w:szCs w:val="28"/>
        </w:rPr>
        <w:t xml:space="preserve"> </w:t>
      </w:r>
      <w:r w:rsidR="00BA66D2" w:rsidRPr="00764C49">
        <w:rPr>
          <w:rStyle w:val="BookTitle"/>
          <w:color w:val="002060"/>
          <w:sz w:val="28"/>
          <w:szCs w:val="28"/>
        </w:rPr>
        <w:t>(</w:t>
      </w:r>
      <w:hyperlink r:id="rId25" w:history="1">
        <w:r w:rsidR="00BA66D2" w:rsidRPr="00486ADF">
          <w:rPr>
            <w:rStyle w:val="Hyperlink"/>
            <w:spacing w:val="5"/>
            <w:sz w:val="28"/>
            <w:szCs w:val="28"/>
          </w:rPr>
          <w:t>Act No. 2011-163</w:t>
        </w:r>
      </w:hyperlink>
      <w:r w:rsidR="00797652" w:rsidRPr="00764C49">
        <w:rPr>
          <w:rStyle w:val="BookTitle"/>
          <w:color w:val="002060"/>
          <w:sz w:val="28"/>
          <w:szCs w:val="28"/>
        </w:rPr>
        <w:t>)</w:t>
      </w:r>
    </w:p>
    <w:p w14:paraId="1F79498C" w14:textId="35DDE58F" w:rsidR="009418C0" w:rsidRPr="00047F1F" w:rsidRDefault="00FA49C1" w:rsidP="009418C0">
      <w:pPr>
        <w:rPr>
          <w:rFonts w:cs="Courier New"/>
        </w:rPr>
      </w:pPr>
      <w:r>
        <w:rPr>
          <w:rFonts w:cs="Courier New"/>
        </w:rPr>
        <w:t>Allows</w:t>
      </w:r>
      <w:r w:rsidR="006935DC">
        <w:rPr>
          <w:rFonts w:cs="Courier New"/>
        </w:rPr>
        <w:t xml:space="preserve"> Public School funds</w:t>
      </w:r>
      <w:r>
        <w:rPr>
          <w:rFonts w:cs="Courier New"/>
        </w:rPr>
        <w:t xml:space="preserve"> (</w:t>
      </w:r>
      <w:r w:rsidRPr="00047F1F">
        <w:t>from the 3.0 mill statewide property tax</w:t>
      </w:r>
      <w:r>
        <w:t>)</w:t>
      </w:r>
      <w:r w:rsidR="00486ADF">
        <w:t xml:space="preserve"> </w:t>
      </w:r>
      <w:r w:rsidR="009418C0">
        <w:rPr>
          <w:rFonts w:cs="Courier New"/>
        </w:rPr>
        <w:t>to be used for</w:t>
      </w:r>
      <w:r w:rsidR="009418C0" w:rsidRPr="00047F1F">
        <w:rPr>
          <w:rFonts w:cs="Courier New"/>
        </w:rPr>
        <w:t xml:space="preserve"> debt payments</w:t>
      </w:r>
      <w:r w:rsidR="009418C0">
        <w:rPr>
          <w:rFonts w:cs="Courier New"/>
        </w:rPr>
        <w:t xml:space="preserve"> </w:t>
      </w:r>
      <w:r w:rsidR="009418C0" w:rsidRPr="00047F1F">
        <w:rPr>
          <w:rFonts w:cs="Courier New"/>
        </w:rPr>
        <w:t>related to public school facilities and the purchase of insurance on public school facilities</w:t>
      </w:r>
      <w:r w:rsidR="009418C0">
        <w:rPr>
          <w:rFonts w:cs="Courier New"/>
        </w:rPr>
        <w:t xml:space="preserve"> </w:t>
      </w:r>
      <w:r w:rsidR="009418C0" w:rsidRPr="00047F1F">
        <w:rPr>
          <w:rFonts w:cs="Courier New"/>
        </w:rPr>
        <w:t xml:space="preserve">as approved expenditures from the </w:t>
      </w:r>
      <w:r w:rsidR="00486ADF" w:rsidRPr="00047F1F">
        <w:rPr>
          <w:rFonts w:cs="Courier New"/>
        </w:rPr>
        <w:t>Public-School</w:t>
      </w:r>
      <w:r w:rsidR="009418C0" w:rsidRPr="00047F1F">
        <w:rPr>
          <w:rFonts w:cs="Courier New"/>
        </w:rPr>
        <w:t xml:space="preserve"> Fund.</w:t>
      </w:r>
    </w:p>
    <w:p w14:paraId="1F79498D" w14:textId="77777777" w:rsidR="009418C0" w:rsidRPr="0017594D" w:rsidRDefault="009418C0" w:rsidP="00F7452E">
      <w:pPr>
        <w:rPr>
          <w:rStyle w:val="BookTitle"/>
          <w:color w:val="002060"/>
        </w:rPr>
      </w:pPr>
    </w:p>
    <w:p w14:paraId="1F79498E" w14:textId="056B7BF3" w:rsidR="00797652" w:rsidRDefault="00797652" w:rsidP="00952875">
      <w:pPr>
        <w:rPr>
          <w:lang w:eastAsia="ja-JP"/>
        </w:rPr>
      </w:pPr>
      <w:r w:rsidRPr="00E0121F">
        <w:rPr>
          <w:rStyle w:val="BookTitle"/>
          <w:color w:val="375AAF" w:themeColor="accent4" w:themeShade="BF"/>
          <w:sz w:val="28"/>
          <w:szCs w:val="28"/>
        </w:rPr>
        <w:t>Public Officials and Spouses, Additional Ethics Reporting</w:t>
      </w:r>
      <w:r w:rsidRPr="00764C49">
        <w:rPr>
          <w:rStyle w:val="BookTitle"/>
          <w:color w:val="002060"/>
          <w:sz w:val="28"/>
          <w:szCs w:val="28"/>
        </w:rPr>
        <w:t xml:space="preserve"> </w:t>
      </w:r>
      <w:r w:rsidR="007242FA">
        <w:rPr>
          <w:rStyle w:val="BookTitle"/>
          <w:color w:val="002060"/>
          <w:sz w:val="28"/>
          <w:szCs w:val="28"/>
        </w:rPr>
        <w:br/>
      </w:r>
      <w:r w:rsidR="007242FA" w:rsidRPr="00764C49">
        <w:rPr>
          <w:rStyle w:val="BookTitle"/>
          <w:color w:val="002060"/>
          <w:sz w:val="28"/>
          <w:szCs w:val="28"/>
        </w:rPr>
        <w:t>(</w:t>
      </w:r>
      <w:hyperlink r:id="rId26" w:history="1">
        <w:r w:rsidR="007242FA" w:rsidRPr="00AD2F81">
          <w:rPr>
            <w:rStyle w:val="Hyperlink"/>
            <w:spacing w:val="5"/>
            <w:sz w:val="28"/>
            <w:szCs w:val="28"/>
          </w:rPr>
          <w:t>Act No. 2011-674</w:t>
        </w:r>
      </w:hyperlink>
      <w:r w:rsidR="007242FA" w:rsidRPr="00764C49">
        <w:rPr>
          <w:rStyle w:val="BookTitle"/>
          <w:color w:val="002060"/>
          <w:sz w:val="28"/>
          <w:szCs w:val="28"/>
        </w:rPr>
        <w:t>)</w:t>
      </w:r>
      <w:r w:rsidR="007242FA">
        <w:rPr>
          <w:rStyle w:val="BookTitle"/>
          <w:color w:val="002060"/>
          <w:sz w:val="28"/>
          <w:szCs w:val="28"/>
        </w:rPr>
        <w:t xml:space="preserve"> </w:t>
      </w:r>
      <w:r w:rsidR="00952875">
        <w:rPr>
          <w:lang w:eastAsia="ja-JP"/>
        </w:rPr>
        <w:t>Requires public disclosure of the names of public officials, candidates, or spouses of public officials or candidates who are employed by the state or the federal government or who have a contract with the state or the federal government.</w:t>
      </w:r>
      <w:r w:rsidR="00952875" w:rsidRPr="00952875">
        <w:rPr>
          <w:lang w:eastAsia="ja-JP"/>
        </w:rPr>
        <w:t xml:space="preserve"> </w:t>
      </w:r>
    </w:p>
    <w:p w14:paraId="1F79498F" w14:textId="77777777" w:rsidR="00952875" w:rsidRPr="00952875" w:rsidRDefault="00952875" w:rsidP="00952875">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Style w:val="BookTitle"/>
          <w:rFonts w:ascii="CourierNewPSMT" w:hAnsi="CourierNewPSMT" w:cs="CourierNewPSMT"/>
          <w:b w:val="0"/>
          <w:bCs w:val="0"/>
          <w:smallCaps w:val="0"/>
          <w:spacing w:val="0"/>
          <w:lang w:eastAsia="ja-JP"/>
        </w:rPr>
      </w:pPr>
    </w:p>
    <w:p w14:paraId="1F794990" w14:textId="6085FADC" w:rsidR="002E7400" w:rsidRPr="00952875" w:rsidRDefault="002E7400" w:rsidP="00952875">
      <w:pPr>
        <w:rPr>
          <w:rStyle w:val="BookTitle"/>
          <w:color w:val="002060"/>
        </w:rPr>
      </w:pPr>
      <w:r w:rsidRPr="00E0121F">
        <w:rPr>
          <w:rStyle w:val="BookTitle"/>
          <w:color w:val="375AAF" w:themeColor="accent4" w:themeShade="BF"/>
          <w:sz w:val="28"/>
          <w:szCs w:val="28"/>
        </w:rPr>
        <w:t>Retirement Increases</w:t>
      </w:r>
      <w:r w:rsidRPr="00764C49">
        <w:rPr>
          <w:rStyle w:val="BookTitle"/>
          <w:color w:val="002060"/>
          <w:sz w:val="28"/>
          <w:szCs w:val="28"/>
        </w:rPr>
        <w:t xml:space="preserve"> </w:t>
      </w:r>
      <w:r w:rsidR="007242FA" w:rsidRPr="00764C49">
        <w:rPr>
          <w:rStyle w:val="BookTitle"/>
          <w:color w:val="002060"/>
          <w:sz w:val="28"/>
          <w:szCs w:val="28"/>
        </w:rPr>
        <w:t>(</w:t>
      </w:r>
      <w:hyperlink r:id="rId27" w:history="1">
        <w:r w:rsidR="007242FA" w:rsidRPr="00E6022E">
          <w:rPr>
            <w:rStyle w:val="Hyperlink"/>
            <w:spacing w:val="5"/>
            <w:sz w:val="28"/>
            <w:szCs w:val="28"/>
          </w:rPr>
          <w:t>Act No. 2011-676</w:t>
        </w:r>
      </w:hyperlink>
      <w:r w:rsidR="007242FA" w:rsidRPr="00764C49">
        <w:rPr>
          <w:rStyle w:val="BookTitle"/>
          <w:color w:val="002060"/>
          <w:sz w:val="28"/>
          <w:szCs w:val="28"/>
        </w:rPr>
        <w:t>)</w:t>
      </w:r>
      <w:r w:rsidR="007242FA">
        <w:rPr>
          <w:rStyle w:val="BookTitle"/>
          <w:color w:val="002060"/>
          <w:sz w:val="28"/>
          <w:szCs w:val="28"/>
        </w:rPr>
        <w:t xml:space="preserve"> </w:t>
      </w:r>
      <w:r w:rsidR="00952875">
        <w:t>Reduces</w:t>
      </w:r>
      <w:r w:rsidR="00952875" w:rsidRPr="00952875">
        <w:t xml:space="preserve"> the state’s cost in the education budget by </w:t>
      </w:r>
      <w:r w:rsidR="00BA66D2">
        <w:t>about</w:t>
      </w:r>
      <w:r w:rsidR="00952875" w:rsidRPr="00952875">
        <w:t xml:space="preserve"> $82 </w:t>
      </w:r>
      <w:r w:rsidR="00BA66D2">
        <w:t>million for FY12</w:t>
      </w:r>
      <w:r w:rsidR="00952875" w:rsidRPr="00952875">
        <w:t>.</w:t>
      </w:r>
      <w:r w:rsidR="00BA66D2">
        <w:t xml:space="preserve"> </w:t>
      </w:r>
      <w:r w:rsidR="00952875" w:rsidRPr="00952875">
        <w:t xml:space="preserve"> There would be additional savings in the 2013 fiscal year.</w:t>
      </w:r>
      <w:r w:rsidR="00952875">
        <w:rPr>
          <w:b/>
          <w:bCs/>
          <w:smallCaps/>
          <w:color w:val="002060"/>
          <w:spacing w:val="5"/>
        </w:rPr>
        <w:t xml:space="preserve"> </w:t>
      </w:r>
      <w:r w:rsidR="00952875">
        <w:t>E</w:t>
      </w:r>
      <w:r w:rsidR="009663F2">
        <w:t>mployee</w:t>
      </w:r>
      <w:r w:rsidR="00952875" w:rsidRPr="00952875">
        <w:t xml:space="preserve"> </w:t>
      </w:r>
      <w:r w:rsidR="009663F2">
        <w:t xml:space="preserve">contribution </w:t>
      </w:r>
      <w:r w:rsidR="00952875" w:rsidRPr="00952875">
        <w:t>would increase to 7.25</w:t>
      </w:r>
      <w:r w:rsidR="009663F2">
        <w:t>%</w:t>
      </w:r>
      <w:r w:rsidR="00952875" w:rsidRPr="00952875">
        <w:t xml:space="preserve"> of income on Oct. 1</w:t>
      </w:r>
      <w:r w:rsidR="00952875">
        <w:t>, 2011</w:t>
      </w:r>
      <w:r w:rsidR="00952875" w:rsidRPr="00952875">
        <w:t xml:space="preserve"> and to 7.5</w:t>
      </w:r>
      <w:r w:rsidR="009663F2">
        <w:t xml:space="preserve">% </w:t>
      </w:r>
      <w:r w:rsidR="00952875" w:rsidRPr="00952875">
        <w:t xml:space="preserve">on Oct. 1, 2012. Most </w:t>
      </w:r>
      <w:r w:rsidR="009663F2">
        <w:t xml:space="preserve">state employees currently pay 5% </w:t>
      </w:r>
      <w:r w:rsidR="00952875" w:rsidRPr="00952875">
        <w:t>of their income toward retirement.</w:t>
      </w:r>
    </w:p>
    <w:p w14:paraId="1F794991" w14:textId="77777777" w:rsidR="00952875" w:rsidRDefault="00952875" w:rsidP="00F7452E">
      <w:pPr>
        <w:rPr>
          <w:rStyle w:val="BookTitle"/>
          <w:color w:val="002060"/>
        </w:rPr>
      </w:pPr>
    </w:p>
    <w:p w14:paraId="1F794992" w14:textId="0075ECEF" w:rsidR="001D6ABE" w:rsidRPr="00764C49" w:rsidRDefault="001D6ABE" w:rsidP="00F7452E">
      <w:pPr>
        <w:rPr>
          <w:rStyle w:val="BookTitle"/>
          <w:color w:val="002060"/>
          <w:sz w:val="28"/>
          <w:szCs w:val="28"/>
        </w:rPr>
      </w:pPr>
      <w:r w:rsidRPr="00E0121F">
        <w:rPr>
          <w:rStyle w:val="BookTitle"/>
          <w:color w:val="375AAF" w:themeColor="accent4" w:themeShade="BF"/>
          <w:sz w:val="28"/>
          <w:szCs w:val="28"/>
        </w:rPr>
        <w:t>Rolling Reserve Act</w:t>
      </w:r>
      <w:r w:rsidRPr="00764C49">
        <w:rPr>
          <w:rStyle w:val="BookTitle"/>
          <w:color w:val="002060"/>
          <w:sz w:val="28"/>
          <w:szCs w:val="28"/>
        </w:rPr>
        <w:t xml:space="preserve"> (</w:t>
      </w:r>
      <w:hyperlink r:id="rId28" w:history="1">
        <w:r w:rsidRPr="00B11D92">
          <w:rPr>
            <w:rStyle w:val="Hyperlink"/>
            <w:spacing w:val="5"/>
            <w:sz w:val="28"/>
            <w:szCs w:val="28"/>
          </w:rPr>
          <w:t>A</w:t>
        </w:r>
        <w:r w:rsidR="00DB79A8" w:rsidRPr="00B11D92">
          <w:rPr>
            <w:rStyle w:val="Hyperlink"/>
            <w:spacing w:val="5"/>
            <w:sz w:val="28"/>
            <w:szCs w:val="28"/>
          </w:rPr>
          <w:t>ct</w:t>
        </w:r>
        <w:r w:rsidRPr="00B11D92">
          <w:rPr>
            <w:rStyle w:val="Hyperlink"/>
            <w:spacing w:val="5"/>
            <w:sz w:val="28"/>
            <w:szCs w:val="28"/>
          </w:rPr>
          <w:t xml:space="preserve"> No. 2011-3</w:t>
        </w:r>
      </w:hyperlink>
      <w:r w:rsidRPr="00764C49">
        <w:rPr>
          <w:rStyle w:val="BookTitle"/>
          <w:color w:val="002060"/>
          <w:sz w:val="28"/>
          <w:szCs w:val="28"/>
        </w:rPr>
        <w:t>)</w:t>
      </w:r>
    </w:p>
    <w:p w14:paraId="1F794993" w14:textId="77777777" w:rsidR="001D6ABE" w:rsidRPr="005159A2" w:rsidRDefault="00764C49" w:rsidP="00F7452E">
      <w:r>
        <w:t>P</w:t>
      </w:r>
      <w:r w:rsidR="001D6ABE" w:rsidRPr="005159A2">
        <w:t>rovides f</w:t>
      </w:r>
      <w:r w:rsidR="00952875">
        <w:t xml:space="preserve">or the maximum amount that may </w:t>
      </w:r>
      <w:r w:rsidR="001D6ABE" w:rsidRPr="005159A2">
        <w:t>be appropriated annually from the Education Trust Fund; and provides for the establishment and operation of a budget stabilization fund and a capital fu</w:t>
      </w:r>
      <w:r w:rsidR="003C2F53">
        <w:t>nd for the Education Trust Fund.</w:t>
      </w:r>
    </w:p>
    <w:p w14:paraId="1F794994" w14:textId="77777777" w:rsidR="00487718" w:rsidRPr="00797652" w:rsidRDefault="001D6ABE" w:rsidP="00F7452E">
      <w:pPr>
        <w:pStyle w:val="HTMLPreformatted"/>
      </w:pPr>
      <w:r>
        <w:t xml:space="preserve"> </w:t>
      </w:r>
    </w:p>
    <w:p w14:paraId="1F794995" w14:textId="48572C8F" w:rsidR="008F2F9E" w:rsidRPr="00190DD3" w:rsidRDefault="008F2F9E" w:rsidP="00F7452E">
      <w:pPr>
        <w:rPr>
          <w:b/>
          <w:bCs/>
          <w:smallCaps/>
          <w:color w:val="000090"/>
          <w:spacing w:val="5"/>
          <w:sz w:val="28"/>
          <w:szCs w:val="28"/>
        </w:rPr>
      </w:pPr>
      <w:r w:rsidRPr="00E0121F">
        <w:rPr>
          <w:rStyle w:val="BookTitle"/>
          <w:color w:val="375AAF" w:themeColor="accent4" w:themeShade="BF"/>
          <w:sz w:val="28"/>
          <w:szCs w:val="28"/>
        </w:rPr>
        <w:t>Service Animals</w:t>
      </w:r>
      <w:r w:rsidRPr="00764C49">
        <w:rPr>
          <w:rStyle w:val="BookTitle"/>
          <w:color w:val="002060"/>
          <w:sz w:val="28"/>
          <w:szCs w:val="28"/>
        </w:rPr>
        <w:t xml:space="preserve"> (</w:t>
      </w:r>
      <w:hyperlink r:id="rId29" w:history="1">
        <w:r w:rsidR="00DB79A8" w:rsidRPr="00666832">
          <w:rPr>
            <w:rStyle w:val="Hyperlink"/>
            <w:spacing w:val="5"/>
            <w:sz w:val="28"/>
            <w:szCs w:val="28"/>
          </w:rPr>
          <w:t>Act</w:t>
        </w:r>
        <w:r w:rsidR="00BA66D2" w:rsidRPr="00666832">
          <w:rPr>
            <w:rStyle w:val="Hyperlink"/>
            <w:spacing w:val="5"/>
            <w:sz w:val="28"/>
            <w:szCs w:val="28"/>
          </w:rPr>
          <w:t xml:space="preserve"> No. 2011-578</w:t>
        </w:r>
      </w:hyperlink>
      <w:r w:rsidRPr="00764C49">
        <w:rPr>
          <w:rStyle w:val="BookTitle"/>
          <w:color w:val="002060"/>
          <w:sz w:val="28"/>
          <w:szCs w:val="28"/>
        </w:rPr>
        <w:t>)</w:t>
      </w:r>
      <w:r w:rsidR="0035002C" w:rsidRPr="00764C49">
        <w:rPr>
          <w:rStyle w:val="BookTitle"/>
          <w:color w:val="002060"/>
          <w:sz w:val="28"/>
          <w:szCs w:val="28"/>
        </w:rPr>
        <w:br/>
      </w:r>
      <w:r w:rsidR="00BA66D2">
        <w:t>Allows</w:t>
      </w:r>
      <w:r w:rsidR="0035002C">
        <w:t xml:space="preserve"> students with disabilities, including persons diagnosed with autism spectrum, the use of service animals in public places, including p</w:t>
      </w:r>
      <w:r w:rsidR="00190DD3">
        <w:t>ublic or private schools.</w:t>
      </w:r>
      <w:r w:rsidR="00190DD3" w:rsidRPr="00190DD3">
        <w:rPr>
          <w:rFonts w:ascii="Times" w:hAnsi="Times"/>
          <w:sz w:val="20"/>
          <w:szCs w:val="20"/>
        </w:rPr>
        <w:t xml:space="preserve"> </w:t>
      </w:r>
      <w:r w:rsidR="00190DD3" w:rsidRPr="00190DD3">
        <w:rPr>
          <w:rFonts w:ascii="Times" w:hAnsi="Times"/>
        </w:rPr>
        <w:t>It</w:t>
      </w:r>
      <w:r w:rsidR="00190DD3" w:rsidRPr="0035002C">
        <w:rPr>
          <w:rFonts w:ascii="Times" w:hAnsi="Times"/>
        </w:rPr>
        <w:t xml:space="preserve"> would increase costs to local school systems by requiring aides assigned to a disabled child to be trained with the service ani</w:t>
      </w:r>
      <w:r w:rsidR="00190DD3" w:rsidRPr="00190DD3">
        <w:rPr>
          <w:rFonts w:ascii="Times" w:hAnsi="Times"/>
        </w:rPr>
        <w:t>mal.</w:t>
      </w:r>
    </w:p>
    <w:p w14:paraId="1F794996" w14:textId="77777777" w:rsidR="0035002C" w:rsidRPr="00851611" w:rsidRDefault="0035002C" w:rsidP="00F7452E">
      <w:pPr>
        <w:rPr>
          <w:rStyle w:val="BookTitle"/>
          <w:color w:val="000090"/>
        </w:rPr>
      </w:pPr>
    </w:p>
    <w:p w14:paraId="1F794997" w14:textId="5DEBC052" w:rsidR="00952875" w:rsidRPr="00764C49" w:rsidRDefault="00797652" w:rsidP="00952875">
      <w:pPr>
        <w:rPr>
          <w:rStyle w:val="BookTitle"/>
          <w:color w:val="002060"/>
          <w:sz w:val="28"/>
          <w:szCs w:val="28"/>
        </w:rPr>
      </w:pPr>
      <w:r w:rsidRPr="00E0121F">
        <w:rPr>
          <w:rStyle w:val="BookTitle"/>
          <w:color w:val="375AAF" w:themeColor="accent4" w:themeShade="BF"/>
          <w:sz w:val="28"/>
          <w:szCs w:val="28"/>
        </w:rPr>
        <w:t>Students First Act</w:t>
      </w:r>
      <w:r w:rsidRPr="00764C49">
        <w:rPr>
          <w:rStyle w:val="BookTitle"/>
          <w:color w:val="002060"/>
          <w:sz w:val="28"/>
          <w:szCs w:val="28"/>
        </w:rPr>
        <w:t xml:space="preserve"> (</w:t>
      </w:r>
      <w:hyperlink r:id="rId30" w:history="1">
        <w:r w:rsidRPr="007F600A">
          <w:rPr>
            <w:rStyle w:val="Hyperlink"/>
            <w:spacing w:val="5"/>
            <w:sz w:val="28"/>
            <w:szCs w:val="28"/>
          </w:rPr>
          <w:t>A</w:t>
        </w:r>
        <w:r w:rsidR="00DB79A8" w:rsidRPr="007F600A">
          <w:rPr>
            <w:rStyle w:val="Hyperlink"/>
            <w:spacing w:val="5"/>
            <w:sz w:val="28"/>
            <w:szCs w:val="28"/>
          </w:rPr>
          <w:t xml:space="preserve">ct </w:t>
        </w:r>
        <w:r w:rsidRPr="007F600A">
          <w:rPr>
            <w:rStyle w:val="Hyperlink"/>
            <w:spacing w:val="5"/>
            <w:sz w:val="28"/>
            <w:szCs w:val="28"/>
          </w:rPr>
          <w:t>No. 2</w:t>
        </w:r>
        <w:r w:rsidR="00BA66D2" w:rsidRPr="007F600A">
          <w:rPr>
            <w:rStyle w:val="Hyperlink"/>
            <w:spacing w:val="5"/>
            <w:sz w:val="28"/>
            <w:szCs w:val="28"/>
          </w:rPr>
          <w:t>0</w:t>
        </w:r>
        <w:r w:rsidR="00764C49" w:rsidRPr="007F600A">
          <w:rPr>
            <w:rStyle w:val="Hyperlink"/>
            <w:spacing w:val="5"/>
            <w:sz w:val="28"/>
            <w:szCs w:val="28"/>
          </w:rPr>
          <w:t>11-270</w:t>
        </w:r>
      </w:hyperlink>
      <w:r w:rsidR="00764C49" w:rsidRPr="00764C49">
        <w:rPr>
          <w:rStyle w:val="BookTitle"/>
          <w:color w:val="002060"/>
          <w:sz w:val="28"/>
          <w:szCs w:val="28"/>
        </w:rPr>
        <w:t>)</w:t>
      </w:r>
    </w:p>
    <w:p w14:paraId="1F794998" w14:textId="77777777" w:rsidR="00797652" w:rsidRDefault="00952875" w:rsidP="006935DC">
      <w:r>
        <w:t>Repeals and replaces the Teacher Tenure Act and the Fair Dismissal Act.</w:t>
      </w:r>
      <w:r w:rsidR="006935DC">
        <w:t xml:space="preserve"> It </w:t>
      </w:r>
      <w:r w:rsidR="006935DC" w:rsidRPr="006935DC">
        <w:t xml:space="preserve">keeps tenure protection for teachers while giving local school systems and community colleges the authority to </w:t>
      </w:r>
      <w:r w:rsidR="00F05293">
        <w:t>terminate</w:t>
      </w:r>
      <w:r w:rsidR="006935DC" w:rsidRPr="006935DC">
        <w:t xml:space="preserve"> problem </w:t>
      </w:r>
      <w:r w:rsidR="00F05293">
        <w:t>employees for justifiable cause</w:t>
      </w:r>
      <w:r w:rsidR="006935DC" w:rsidRPr="006935DC">
        <w:t xml:space="preserve">. </w:t>
      </w:r>
      <w:r w:rsidR="006935DC">
        <w:t>It</w:t>
      </w:r>
      <w:r w:rsidR="006935DC" w:rsidRPr="006935DC">
        <w:t xml:space="preserve"> removes federal arbitration for termination appeals and replaces it with </w:t>
      </w:r>
      <w:r w:rsidR="00764C49">
        <w:t>a</w:t>
      </w:r>
      <w:r w:rsidR="00C65B6F">
        <w:t>n</w:t>
      </w:r>
      <w:r w:rsidR="006935DC" w:rsidRPr="006935DC">
        <w:t xml:space="preserve"> appeals procedure that guarantees due process for teachers while ensuring cost savings for local schools.</w:t>
      </w:r>
    </w:p>
    <w:p w14:paraId="1F794999" w14:textId="77777777" w:rsidR="00764C49" w:rsidRPr="00764C49" w:rsidRDefault="00764C49" w:rsidP="006935DC">
      <w:pPr>
        <w:rPr>
          <w:rStyle w:val="BookTitle"/>
          <w:b w:val="0"/>
          <w:bCs w:val="0"/>
          <w:smallCaps w:val="0"/>
          <w:spacing w:val="0"/>
        </w:rPr>
      </w:pPr>
    </w:p>
    <w:p w14:paraId="1F79499A" w14:textId="34E78334" w:rsidR="008F2F9E" w:rsidRPr="00764C49" w:rsidRDefault="008F2F9E" w:rsidP="00F7452E">
      <w:pPr>
        <w:rPr>
          <w:rStyle w:val="BookTitle"/>
          <w:color w:val="002060"/>
          <w:sz w:val="28"/>
          <w:szCs w:val="28"/>
        </w:rPr>
      </w:pPr>
      <w:r w:rsidRPr="00E0121F">
        <w:rPr>
          <w:rStyle w:val="BookTitle"/>
          <w:color w:val="375AAF" w:themeColor="accent4" w:themeShade="BF"/>
          <w:sz w:val="28"/>
          <w:szCs w:val="28"/>
        </w:rPr>
        <w:t>Tornado Damaged Schools</w:t>
      </w:r>
      <w:r w:rsidRPr="00764C49">
        <w:rPr>
          <w:rStyle w:val="BookTitle"/>
          <w:color w:val="002060"/>
          <w:sz w:val="28"/>
          <w:szCs w:val="28"/>
        </w:rPr>
        <w:t xml:space="preserve"> (</w:t>
      </w:r>
      <w:hyperlink r:id="rId31" w:history="1">
        <w:r w:rsidRPr="00A27D94">
          <w:rPr>
            <w:rStyle w:val="Hyperlink"/>
            <w:spacing w:val="5"/>
            <w:sz w:val="28"/>
            <w:szCs w:val="28"/>
          </w:rPr>
          <w:t>Act 2011-231</w:t>
        </w:r>
      </w:hyperlink>
      <w:r w:rsidRPr="00764C49">
        <w:rPr>
          <w:rStyle w:val="BookTitle"/>
          <w:color w:val="002060"/>
          <w:sz w:val="28"/>
          <w:szCs w:val="28"/>
        </w:rPr>
        <w:t>)</w:t>
      </w:r>
    </w:p>
    <w:p w14:paraId="1F79499C" w14:textId="6FE887B4" w:rsidR="00851611" w:rsidRPr="00991360" w:rsidRDefault="00E0121F" w:rsidP="00F7452E">
      <w:pPr>
        <w:rPr>
          <w:rStyle w:val="BookTitle"/>
          <w:b w:val="0"/>
          <w:bCs w:val="0"/>
          <w:smallCaps w:val="0"/>
          <w:spacing w:val="0"/>
        </w:rPr>
      </w:pPr>
      <w:r>
        <w:t>States</w:t>
      </w:r>
      <w:r w:rsidR="00190DD3" w:rsidRPr="00190DD3">
        <w:t xml:space="preserve"> that the Legislature will</w:t>
      </w:r>
      <w:r w:rsidR="00190DD3">
        <w:t xml:space="preserve"> work with the Governor </w:t>
      </w:r>
      <w:r w:rsidR="00A27D94">
        <w:t xml:space="preserve">and </w:t>
      </w:r>
      <w:proofErr w:type="gramStart"/>
      <w:r w:rsidR="00190DD3">
        <w:t>provide assistance to</w:t>
      </w:r>
      <w:proofErr w:type="gramEnd"/>
      <w:r w:rsidR="00190DD3">
        <w:t xml:space="preserve"> those schools damaged by</w:t>
      </w:r>
      <w:r w:rsidR="003C2F53">
        <w:t xml:space="preserve"> the tornadoes of April 27, 20</w:t>
      </w:r>
      <w:bookmarkStart w:id="0" w:name="_GoBack"/>
      <w:bookmarkEnd w:id="0"/>
      <w:r w:rsidR="003C2F53">
        <w:t>11.</w:t>
      </w:r>
    </w:p>
    <w:sectPr w:rsidR="00851611" w:rsidRPr="00991360" w:rsidSect="00E0121F">
      <w:headerReference w:type="default" r:id="rId32"/>
      <w:footerReference w:type="default" r:id="rId33"/>
      <w:pgSz w:w="12240" w:h="15840"/>
      <w:pgMar w:top="1080" w:right="1080" w:bottom="720" w:left="108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77AC4" w14:textId="77777777" w:rsidR="00B77D00" w:rsidRDefault="00B77D00" w:rsidP="00F7452E">
      <w:r>
        <w:separator/>
      </w:r>
    </w:p>
  </w:endnote>
  <w:endnote w:type="continuationSeparator" w:id="0">
    <w:p w14:paraId="065A70FB" w14:textId="77777777" w:rsidR="00B77D00" w:rsidRDefault="00B77D00" w:rsidP="00F7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urierNewPSMT">
    <w:altName w:val="Courier New"/>
    <w:panose1 w:val="00000000000000000000"/>
    <w:charset w:val="00"/>
    <w:family w:val="moder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49A4" w14:textId="77777777" w:rsidR="00CB005F" w:rsidRDefault="00CB005F" w:rsidP="00F7452E">
    <w:pPr>
      <w:pStyle w:val="Footer"/>
      <w:jc w:val="center"/>
      <w:rPr>
        <w:rFonts w:ascii="Monotype Corsiva" w:hAnsi="Monotype Corsiva"/>
      </w:rPr>
    </w:pPr>
    <w:r>
      <w:rPr>
        <w:rFonts w:ascii="Times New Roman" w:hAnsi="Times New Roman" w:cs="Times New Roman"/>
        <w:b/>
      </w:rPr>
      <w:t>SCHOOL SUPERINTENDENTS</w:t>
    </w:r>
    <w:r>
      <w:t xml:space="preserve"> </w:t>
    </w:r>
    <w:r w:rsidRPr="00764C49">
      <w:rPr>
        <w:rFonts w:ascii="Monotype Corsiva" w:hAnsi="Monotype Corsiva"/>
      </w:rPr>
      <w:t>of Alabama</w:t>
    </w:r>
  </w:p>
  <w:p w14:paraId="1F7949A5" w14:textId="77777777" w:rsidR="00CB005F" w:rsidRPr="00764C49" w:rsidRDefault="0033162D" w:rsidP="00F7452E">
    <w:pPr>
      <w:pStyle w:val="Footer"/>
      <w:jc w:val="center"/>
      <w:rPr>
        <w:rFonts w:ascii="Monotype Corsiva" w:hAnsi="Monotype Corsiva"/>
        <w:b/>
      </w:rPr>
    </w:pPr>
    <w:r w:rsidRPr="00764C49">
      <w:rPr>
        <w:rFonts w:ascii="Monotype Corsiva" w:hAnsi="Monotype Corsiva"/>
        <w:b/>
      </w:rPr>
      <w:fldChar w:fldCharType="begin"/>
    </w:r>
    <w:r w:rsidR="00CB005F" w:rsidRPr="00764C49">
      <w:rPr>
        <w:rFonts w:ascii="Monotype Corsiva" w:hAnsi="Monotype Corsiva"/>
        <w:b/>
      </w:rPr>
      <w:instrText xml:space="preserve"> PAGE   \* MERGEFORMAT </w:instrText>
    </w:r>
    <w:r w:rsidRPr="00764C49">
      <w:rPr>
        <w:rFonts w:ascii="Monotype Corsiva" w:hAnsi="Monotype Corsiva"/>
        <w:b/>
      </w:rPr>
      <w:fldChar w:fldCharType="separate"/>
    </w:r>
    <w:r w:rsidR="007D438D">
      <w:rPr>
        <w:rFonts w:ascii="Monotype Corsiva" w:hAnsi="Monotype Corsiva"/>
        <w:b/>
        <w:noProof/>
      </w:rPr>
      <w:t>1</w:t>
    </w:r>
    <w:r w:rsidRPr="00764C49">
      <w:rPr>
        <w:rFonts w:ascii="Monotype Corsiva" w:hAnsi="Monotype Corsiv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CC11" w14:textId="77777777" w:rsidR="00B77D00" w:rsidRDefault="00B77D00" w:rsidP="00F7452E">
      <w:r>
        <w:separator/>
      </w:r>
    </w:p>
  </w:footnote>
  <w:footnote w:type="continuationSeparator" w:id="0">
    <w:p w14:paraId="59FB97AC" w14:textId="77777777" w:rsidR="00B77D00" w:rsidRDefault="00B77D00" w:rsidP="00F7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49A3" w14:textId="77777777" w:rsidR="00CB005F" w:rsidRDefault="00CB005F" w:rsidP="00F7452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B647F"/>
    <w:multiLevelType w:val="hybridMultilevel"/>
    <w:tmpl w:val="435E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69"/>
    <w:rsid w:val="00080CE0"/>
    <w:rsid w:val="00084D6A"/>
    <w:rsid w:val="000C5BC5"/>
    <w:rsid w:val="000D4413"/>
    <w:rsid w:val="000F7112"/>
    <w:rsid w:val="0017594D"/>
    <w:rsid w:val="00184080"/>
    <w:rsid w:val="00190DD3"/>
    <w:rsid w:val="001D6ABE"/>
    <w:rsid w:val="00217D23"/>
    <w:rsid w:val="002628D5"/>
    <w:rsid w:val="00280317"/>
    <w:rsid w:val="002B1CB6"/>
    <w:rsid w:val="002E7400"/>
    <w:rsid w:val="003038BC"/>
    <w:rsid w:val="0033162D"/>
    <w:rsid w:val="00333B08"/>
    <w:rsid w:val="0035002C"/>
    <w:rsid w:val="003C2F53"/>
    <w:rsid w:val="003E6ECC"/>
    <w:rsid w:val="003F0007"/>
    <w:rsid w:val="00486ADF"/>
    <w:rsid w:val="00487718"/>
    <w:rsid w:val="00493BEC"/>
    <w:rsid w:val="004C2678"/>
    <w:rsid w:val="004E63D3"/>
    <w:rsid w:val="005159A2"/>
    <w:rsid w:val="0054563A"/>
    <w:rsid w:val="006514B2"/>
    <w:rsid w:val="00666832"/>
    <w:rsid w:val="006935DC"/>
    <w:rsid w:val="006D58F8"/>
    <w:rsid w:val="006E2A24"/>
    <w:rsid w:val="007242FA"/>
    <w:rsid w:val="00764C49"/>
    <w:rsid w:val="00781725"/>
    <w:rsid w:val="00797652"/>
    <w:rsid w:val="007D438D"/>
    <w:rsid w:val="007F600A"/>
    <w:rsid w:val="00851611"/>
    <w:rsid w:val="008B63BC"/>
    <w:rsid w:val="008E32E0"/>
    <w:rsid w:val="008F2F9E"/>
    <w:rsid w:val="00914E09"/>
    <w:rsid w:val="009418C0"/>
    <w:rsid w:val="0094740F"/>
    <w:rsid w:val="00952875"/>
    <w:rsid w:val="00956FA8"/>
    <w:rsid w:val="009663F2"/>
    <w:rsid w:val="00990027"/>
    <w:rsid w:val="00991360"/>
    <w:rsid w:val="00994AEC"/>
    <w:rsid w:val="009B5BBC"/>
    <w:rsid w:val="009C0DBC"/>
    <w:rsid w:val="00A27D94"/>
    <w:rsid w:val="00AB7CFF"/>
    <w:rsid w:val="00AD23F7"/>
    <w:rsid w:val="00AD2F81"/>
    <w:rsid w:val="00B11D92"/>
    <w:rsid w:val="00B7792C"/>
    <w:rsid w:val="00B77D00"/>
    <w:rsid w:val="00B92238"/>
    <w:rsid w:val="00BA66D2"/>
    <w:rsid w:val="00BC6868"/>
    <w:rsid w:val="00BE4DFE"/>
    <w:rsid w:val="00BE5240"/>
    <w:rsid w:val="00BE58A0"/>
    <w:rsid w:val="00BE5BEB"/>
    <w:rsid w:val="00C0649E"/>
    <w:rsid w:val="00C65B6F"/>
    <w:rsid w:val="00C71DF4"/>
    <w:rsid w:val="00C824C2"/>
    <w:rsid w:val="00C935CF"/>
    <w:rsid w:val="00CB005F"/>
    <w:rsid w:val="00D140E1"/>
    <w:rsid w:val="00D26C52"/>
    <w:rsid w:val="00DB79A8"/>
    <w:rsid w:val="00E0121F"/>
    <w:rsid w:val="00E371CA"/>
    <w:rsid w:val="00E529C7"/>
    <w:rsid w:val="00E6022E"/>
    <w:rsid w:val="00E72158"/>
    <w:rsid w:val="00E8069D"/>
    <w:rsid w:val="00EC1A66"/>
    <w:rsid w:val="00F05293"/>
    <w:rsid w:val="00F1454E"/>
    <w:rsid w:val="00F17869"/>
    <w:rsid w:val="00F5140F"/>
    <w:rsid w:val="00F559A6"/>
    <w:rsid w:val="00F7452E"/>
    <w:rsid w:val="00FA49C1"/>
    <w:rsid w:val="00FD44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94944"/>
  <w15:docId w15:val="{B31724A9-4B09-4B7F-9816-5803D9D0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Palatino" w:hAnsi="Palatino" w:cs="Courie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17869"/>
    <w:rPr>
      <w:rFonts w:ascii="Courier" w:hAnsi="Courier"/>
      <w:sz w:val="20"/>
      <w:szCs w:val="20"/>
    </w:rPr>
  </w:style>
  <w:style w:type="character" w:customStyle="1" w:styleId="HTMLPreformattedChar">
    <w:name w:val="HTML Preformatted Char"/>
    <w:basedOn w:val="DefaultParagraphFont"/>
    <w:link w:val="HTMLPreformatted"/>
    <w:uiPriority w:val="99"/>
    <w:rsid w:val="00F17869"/>
    <w:rPr>
      <w:rFonts w:ascii="Courier" w:hAnsi="Courier" w:cs="Courier"/>
      <w:sz w:val="20"/>
      <w:szCs w:val="20"/>
      <w:lang w:eastAsia="en-US"/>
    </w:rPr>
  </w:style>
  <w:style w:type="character" w:styleId="IntenseEmphasis">
    <w:name w:val="Intense Emphasis"/>
    <w:basedOn w:val="DefaultParagraphFont"/>
    <w:uiPriority w:val="21"/>
    <w:qFormat/>
    <w:rsid w:val="00F17869"/>
    <w:rPr>
      <w:b/>
      <w:bCs/>
      <w:i/>
      <w:iCs/>
      <w:color w:val="CEB966" w:themeColor="accent1"/>
    </w:rPr>
  </w:style>
  <w:style w:type="character" w:styleId="BookTitle">
    <w:name w:val="Book Title"/>
    <w:basedOn w:val="DefaultParagraphFont"/>
    <w:uiPriority w:val="33"/>
    <w:qFormat/>
    <w:rsid w:val="00F17869"/>
    <w:rPr>
      <w:b/>
      <w:bCs/>
      <w:smallCaps/>
      <w:spacing w:val="5"/>
    </w:rPr>
  </w:style>
  <w:style w:type="paragraph" w:styleId="NormalWeb">
    <w:name w:val="Normal (Web)"/>
    <w:basedOn w:val="Normal"/>
    <w:uiPriority w:val="99"/>
    <w:unhideWhenUsed/>
    <w:rsid w:val="005159A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92238"/>
    <w:pPr>
      <w:tabs>
        <w:tab w:val="center" w:pos="4680"/>
        <w:tab w:val="right" w:pos="9360"/>
      </w:tabs>
    </w:pPr>
  </w:style>
  <w:style w:type="character" w:customStyle="1" w:styleId="HeaderChar">
    <w:name w:val="Header Char"/>
    <w:basedOn w:val="DefaultParagraphFont"/>
    <w:link w:val="Header"/>
    <w:uiPriority w:val="99"/>
    <w:rsid w:val="00B92238"/>
    <w:rPr>
      <w:rFonts w:ascii="Times New Roman" w:hAnsi="Times New Roman"/>
    </w:rPr>
  </w:style>
  <w:style w:type="paragraph" w:styleId="Footer">
    <w:name w:val="footer"/>
    <w:basedOn w:val="Normal"/>
    <w:link w:val="FooterChar"/>
    <w:uiPriority w:val="99"/>
    <w:unhideWhenUsed/>
    <w:rsid w:val="00B92238"/>
    <w:pPr>
      <w:tabs>
        <w:tab w:val="center" w:pos="4680"/>
        <w:tab w:val="right" w:pos="9360"/>
      </w:tabs>
    </w:pPr>
  </w:style>
  <w:style w:type="character" w:customStyle="1" w:styleId="FooterChar">
    <w:name w:val="Footer Char"/>
    <w:basedOn w:val="DefaultParagraphFont"/>
    <w:link w:val="Footer"/>
    <w:uiPriority w:val="99"/>
    <w:rsid w:val="00B92238"/>
    <w:rPr>
      <w:rFonts w:ascii="Times New Roman" w:hAnsi="Times New Roman"/>
    </w:rPr>
  </w:style>
  <w:style w:type="paragraph" w:styleId="BalloonText">
    <w:name w:val="Balloon Text"/>
    <w:basedOn w:val="Normal"/>
    <w:link w:val="BalloonTextChar"/>
    <w:uiPriority w:val="99"/>
    <w:semiHidden/>
    <w:unhideWhenUsed/>
    <w:rsid w:val="002628D5"/>
    <w:rPr>
      <w:rFonts w:ascii="Lucida Grande" w:hAnsi="Lucida Grande"/>
      <w:sz w:val="18"/>
      <w:szCs w:val="18"/>
    </w:rPr>
  </w:style>
  <w:style w:type="character" w:customStyle="1" w:styleId="BalloonTextChar">
    <w:name w:val="Balloon Text Char"/>
    <w:basedOn w:val="DefaultParagraphFont"/>
    <w:link w:val="BalloonText"/>
    <w:uiPriority w:val="99"/>
    <w:semiHidden/>
    <w:rsid w:val="002628D5"/>
    <w:rPr>
      <w:rFonts w:ascii="Lucida Grande" w:hAnsi="Lucida Grande"/>
      <w:sz w:val="18"/>
      <w:szCs w:val="18"/>
    </w:rPr>
  </w:style>
  <w:style w:type="paragraph" w:styleId="ListParagraph">
    <w:name w:val="List Paragraph"/>
    <w:basedOn w:val="Normal"/>
    <w:uiPriority w:val="34"/>
    <w:qFormat/>
    <w:rsid w:val="003E6ECC"/>
    <w:pPr>
      <w:ind w:left="720"/>
      <w:contextualSpacing/>
    </w:pPr>
  </w:style>
  <w:style w:type="character" w:styleId="IntenseReference">
    <w:name w:val="Intense Reference"/>
    <w:basedOn w:val="DefaultParagraphFont"/>
    <w:uiPriority w:val="32"/>
    <w:qFormat/>
    <w:rsid w:val="0017594D"/>
    <w:rPr>
      <w:b/>
      <w:bCs/>
      <w:smallCaps/>
      <w:color w:val="9CB084" w:themeColor="accent2"/>
      <w:spacing w:val="5"/>
      <w:u w:val="single"/>
    </w:rPr>
  </w:style>
  <w:style w:type="paragraph" w:styleId="Title">
    <w:name w:val="Title"/>
    <w:basedOn w:val="Normal"/>
    <w:next w:val="Normal"/>
    <w:link w:val="TitleChar"/>
    <w:uiPriority w:val="10"/>
    <w:qFormat/>
    <w:rsid w:val="00F7452E"/>
    <w:pPr>
      <w:pBdr>
        <w:bottom w:val="single" w:sz="8" w:space="4" w:color="CEB966" w:themeColor="accent1"/>
      </w:pBdr>
      <w:spacing w:after="300"/>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itleChar">
    <w:name w:val="Title Char"/>
    <w:basedOn w:val="DefaultParagraphFont"/>
    <w:link w:val="Title"/>
    <w:uiPriority w:val="10"/>
    <w:rsid w:val="00F7452E"/>
    <w:rPr>
      <w:rFonts w:asciiTheme="majorHAnsi" w:eastAsiaTheme="majorEastAsia" w:hAnsiTheme="majorHAnsi" w:cstheme="majorBidi"/>
      <w:color w:val="4E4D51" w:themeColor="text2" w:themeShade="BF"/>
      <w:spacing w:val="5"/>
      <w:kern w:val="28"/>
      <w:sz w:val="52"/>
      <w:szCs w:val="52"/>
      <w:lang w:eastAsia="en-US"/>
    </w:rPr>
  </w:style>
  <w:style w:type="table" w:styleId="TableGrid">
    <w:name w:val="Table Grid"/>
    <w:basedOn w:val="TableNormal"/>
    <w:uiPriority w:val="59"/>
    <w:rsid w:val="009418C0"/>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240"/>
    <w:rPr>
      <w:color w:val="410082" w:themeColor="hyperlink"/>
      <w:u w:val="single"/>
    </w:rPr>
  </w:style>
  <w:style w:type="character" w:styleId="UnresolvedMention">
    <w:name w:val="Unresolved Mention"/>
    <w:basedOn w:val="DefaultParagraphFont"/>
    <w:uiPriority w:val="99"/>
    <w:semiHidden/>
    <w:unhideWhenUsed/>
    <w:rsid w:val="00BE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477735">
      <w:bodyDiv w:val="1"/>
      <w:marLeft w:val="0"/>
      <w:marRight w:val="0"/>
      <w:marTop w:val="0"/>
      <w:marBottom w:val="0"/>
      <w:divBdr>
        <w:top w:val="none" w:sz="0" w:space="0" w:color="auto"/>
        <w:left w:val="none" w:sz="0" w:space="0" w:color="auto"/>
        <w:bottom w:val="none" w:sz="0" w:space="0" w:color="auto"/>
        <w:right w:val="none" w:sz="0" w:space="0" w:color="auto"/>
      </w:divBdr>
    </w:div>
    <w:div w:id="719675709">
      <w:bodyDiv w:val="1"/>
      <w:marLeft w:val="0"/>
      <w:marRight w:val="0"/>
      <w:marTop w:val="0"/>
      <w:marBottom w:val="0"/>
      <w:divBdr>
        <w:top w:val="none" w:sz="0" w:space="0" w:color="auto"/>
        <w:left w:val="none" w:sz="0" w:space="0" w:color="auto"/>
        <w:bottom w:val="none" w:sz="0" w:space="0" w:color="auto"/>
        <w:right w:val="none" w:sz="0" w:space="0" w:color="auto"/>
      </w:divBdr>
    </w:div>
    <w:div w:id="1069109135">
      <w:bodyDiv w:val="1"/>
      <w:marLeft w:val="0"/>
      <w:marRight w:val="0"/>
      <w:marTop w:val="0"/>
      <w:marBottom w:val="0"/>
      <w:divBdr>
        <w:top w:val="none" w:sz="0" w:space="0" w:color="auto"/>
        <w:left w:val="none" w:sz="0" w:space="0" w:color="auto"/>
        <w:bottom w:val="none" w:sz="0" w:space="0" w:color="auto"/>
        <w:right w:val="none" w:sz="0" w:space="0" w:color="auto"/>
      </w:divBdr>
    </w:div>
    <w:div w:id="1239947184">
      <w:bodyDiv w:val="1"/>
      <w:marLeft w:val="0"/>
      <w:marRight w:val="0"/>
      <w:marTop w:val="0"/>
      <w:marBottom w:val="0"/>
      <w:divBdr>
        <w:top w:val="none" w:sz="0" w:space="0" w:color="auto"/>
        <w:left w:val="none" w:sz="0" w:space="0" w:color="auto"/>
        <w:bottom w:val="none" w:sz="0" w:space="0" w:color="auto"/>
        <w:right w:val="none" w:sz="0" w:space="0" w:color="auto"/>
      </w:divBdr>
    </w:div>
    <w:div w:id="1240017193">
      <w:bodyDiv w:val="1"/>
      <w:marLeft w:val="0"/>
      <w:marRight w:val="0"/>
      <w:marTop w:val="0"/>
      <w:marBottom w:val="0"/>
      <w:divBdr>
        <w:top w:val="none" w:sz="0" w:space="0" w:color="auto"/>
        <w:left w:val="none" w:sz="0" w:space="0" w:color="auto"/>
        <w:bottom w:val="none" w:sz="0" w:space="0" w:color="auto"/>
        <w:right w:val="none" w:sz="0" w:space="0" w:color="auto"/>
      </w:divBdr>
    </w:div>
    <w:div w:id="1401755554">
      <w:bodyDiv w:val="1"/>
      <w:marLeft w:val="0"/>
      <w:marRight w:val="0"/>
      <w:marTop w:val="0"/>
      <w:marBottom w:val="0"/>
      <w:divBdr>
        <w:top w:val="none" w:sz="0" w:space="0" w:color="auto"/>
        <w:left w:val="none" w:sz="0" w:space="0" w:color="auto"/>
        <w:bottom w:val="none" w:sz="0" w:space="0" w:color="auto"/>
        <w:right w:val="none" w:sz="0" w:space="0" w:color="auto"/>
      </w:divBdr>
      <w:divsChild>
        <w:div w:id="544220345">
          <w:marLeft w:val="0"/>
          <w:marRight w:val="0"/>
          <w:marTop w:val="0"/>
          <w:marBottom w:val="0"/>
          <w:divBdr>
            <w:top w:val="none" w:sz="0" w:space="0" w:color="auto"/>
            <w:left w:val="none" w:sz="0" w:space="0" w:color="auto"/>
            <w:bottom w:val="none" w:sz="0" w:space="0" w:color="auto"/>
            <w:right w:val="none" w:sz="0" w:space="0" w:color="auto"/>
          </w:divBdr>
          <w:divsChild>
            <w:div w:id="1439645081">
              <w:marLeft w:val="0"/>
              <w:marRight w:val="0"/>
              <w:marTop w:val="0"/>
              <w:marBottom w:val="0"/>
              <w:divBdr>
                <w:top w:val="none" w:sz="0" w:space="0" w:color="auto"/>
                <w:left w:val="none" w:sz="0" w:space="0" w:color="auto"/>
                <w:bottom w:val="none" w:sz="0" w:space="0" w:color="auto"/>
                <w:right w:val="none" w:sz="0" w:space="0" w:color="auto"/>
              </w:divBdr>
              <w:divsChild>
                <w:div w:id="1415396912">
                  <w:marLeft w:val="0"/>
                  <w:marRight w:val="0"/>
                  <w:marTop w:val="0"/>
                  <w:marBottom w:val="0"/>
                  <w:divBdr>
                    <w:top w:val="none" w:sz="0" w:space="0" w:color="auto"/>
                    <w:left w:val="none" w:sz="0" w:space="0" w:color="auto"/>
                    <w:bottom w:val="none" w:sz="0" w:space="0" w:color="auto"/>
                    <w:right w:val="none" w:sz="0" w:space="0" w:color="auto"/>
                  </w:divBdr>
                  <w:divsChild>
                    <w:div w:id="143742324">
                      <w:marLeft w:val="0"/>
                      <w:marRight w:val="0"/>
                      <w:marTop w:val="0"/>
                      <w:marBottom w:val="0"/>
                      <w:divBdr>
                        <w:top w:val="none" w:sz="0" w:space="0" w:color="auto"/>
                        <w:left w:val="none" w:sz="0" w:space="0" w:color="auto"/>
                        <w:bottom w:val="none" w:sz="0" w:space="0" w:color="auto"/>
                        <w:right w:val="none" w:sz="0" w:space="0" w:color="auto"/>
                      </w:divBdr>
                      <w:divsChild>
                        <w:div w:id="1984581157">
                          <w:marLeft w:val="0"/>
                          <w:marRight w:val="0"/>
                          <w:marTop w:val="0"/>
                          <w:marBottom w:val="0"/>
                          <w:divBdr>
                            <w:top w:val="none" w:sz="0" w:space="0" w:color="auto"/>
                            <w:left w:val="none" w:sz="0" w:space="0" w:color="auto"/>
                            <w:bottom w:val="none" w:sz="0" w:space="0" w:color="auto"/>
                            <w:right w:val="none" w:sz="0" w:space="0" w:color="auto"/>
                          </w:divBdr>
                          <w:divsChild>
                            <w:div w:id="547231221">
                              <w:marLeft w:val="0"/>
                              <w:marRight w:val="0"/>
                              <w:marTop w:val="0"/>
                              <w:marBottom w:val="0"/>
                              <w:divBdr>
                                <w:top w:val="none" w:sz="0" w:space="0" w:color="auto"/>
                                <w:left w:val="none" w:sz="0" w:space="0" w:color="auto"/>
                                <w:bottom w:val="none" w:sz="0" w:space="0" w:color="auto"/>
                                <w:right w:val="none" w:sz="0" w:space="0" w:color="auto"/>
                              </w:divBdr>
                              <w:divsChild>
                                <w:div w:id="118380584">
                                  <w:marLeft w:val="0"/>
                                  <w:marRight w:val="0"/>
                                  <w:marTop w:val="0"/>
                                  <w:marBottom w:val="0"/>
                                  <w:divBdr>
                                    <w:top w:val="none" w:sz="0" w:space="0" w:color="auto"/>
                                    <w:left w:val="none" w:sz="0" w:space="0" w:color="auto"/>
                                    <w:bottom w:val="none" w:sz="0" w:space="0" w:color="auto"/>
                                    <w:right w:val="none" w:sz="0" w:space="0" w:color="auto"/>
                                  </w:divBdr>
                                  <w:divsChild>
                                    <w:div w:id="1457794041">
                                      <w:marLeft w:val="0"/>
                                      <w:marRight w:val="0"/>
                                      <w:marTop w:val="0"/>
                                      <w:marBottom w:val="0"/>
                                      <w:divBdr>
                                        <w:top w:val="none" w:sz="0" w:space="0" w:color="auto"/>
                                        <w:left w:val="none" w:sz="0" w:space="0" w:color="auto"/>
                                        <w:bottom w:val="none" w:sz="0" w:space="0" w:color="auto"/>
                                        <w:right w:val="none" w:sz="0" w:space="0" w:color="auto"/>
                                      </w:divBdr>
                                      <w:divsChild>
                                        <w:div w:id="432096073">
                                          <w:marLeft w:val="0"/>
                                          <w:marRight w:val="4365"/>
                                          <w:marTop w:val="0"/>
                                          <w:marBottom w:val="0"/>
                                          <w:divBdr>
                                            <w:top w:val="none" w:sz="0" w:space="0" w:color="auto"/>
                                            <w:left w:val="none" w:sz="0" w:space="0" w:color="auto"/>
                                            <w:bottom w:val="none" w:sz="0" w:space="0" w:color="auto"/>
                                            <w:right w:val="none" w:sz="0" w:space="0" w:color="auto"/>
                                          </w:divBdr>
                                          <w:divsChild>
                                            <w:div w:id="342704613">
                                              <w:marLeft w:val="0"/>
                                              <w:marRight w:val="0"/>
                                              <w:marTop w:val="0"/>
                                              <w:marBottom w:val="0"/>
                                              <w:divBdr>
                                                <w:top w:val="none" w:sz="0" w:space="0" w:color="auto"/>
                                                <w:left w:val="none" w:sz="0" w:space="0" w:color="auto"/>
                                                <w:bottom w:val="none" w:sz="0" w:space="0" w:color="auto"/>
                                                <w:right w:val="none" w:sz="0" w:space="0" w:color="auto"/>
                                              </w:divBdr>
                                              <w:divsChild>
                                                <w:div w:id="1264680959">
                                                  <w:marLeft w:val="0"/>
                                                  <w:marRight w:val="0"/>
                                                  <w:marTop w:val="0"/>
                                                  <w:marBottom w:val="0"/>
                                                  <w:divBdr>
                                                    <w:top w:val="none" w:sz="0" w:space="0" w:color="auto"/>
                                                    <w:left w:val="none" w:sz="0" w:space="0" w:color="auto"/>
                                                    <w:bottom w:val="none" w:sz="0" w:space="0" w:color="auto"/>
                                                    <w:right w:val="none" w:sz="0" w:space="0" w:color="auto"/>
                                                  </w:divBdr>
                                                  <w:divsChild>
                                                    <w:div w:id="1392775314">
                                                      <w:marLeft w:val="0"/>
                                                      <w:marRight w:val="0"/>
                                                      <w:marTop w:val="0"/>
                                                      <w:marBottom w:val="0"/>
                                                      <w:divBdr>
                                                        <w:top w:val="none" w:sz="0" w:space="0" w:color="auto"/>
                                                        <w:left w:val="none" w:sz="0" w:space="0" w:color="auto"/>
                                                        <w:bottom w:val="none" w:sz="0" w:space="0" w:color="auto"/>
                                                        <w:right w:val="none" w:sz="0" w:space="0" w:color="auto"/>
                                                      </w:divBdr>
                                                      <w:divsChild>
                                                        <w:div w:id="730925936">
                                                          <w:marLeft w:val="0"/>
                                                          <w:marRight w:val="0"/>
                                                          <w:marTop w:val="0"/>
                                                          <w:marBottom w:val="0"/>
                                                          <w:divBdr>
                                                            <w:top w:val="none" w:sz="0" w:space="0" w:color="auto"/>
                                                            <w:left w:val="none" w:sz="0" w:space="0" w:color="auto"/>
                                                            <w:bottom w:val="none" w:sz="0" w:space="0" w:color="auto"/>
                                                            <w:right w:val="none" w:sz="0" w:space="0" w:color="auto"/>
                                                          </w:divBdr>
                                                          <w:divsChild>
                                                            <w:div w:id="442580227">
                                                              <w:marLeft w:val="0"/>
                                                              <w:marRight w:val="0"/>
                                                              <w:marTop w:val="0"/>
                                                              <w:marBottom w:val="0"/>
                                                              <w:divBdr>
                                                                <w:top w:val="none" w:sz="0" w:space="0" w:color="auto"/>
                                                                <w:left w:val="none" w:sz="0" w:space="0" w:color="auto"/>
                                                                <w:bottom w:val="none" w:sz="0" w:space="0" w:color="auto"/>
                                                                <w:right w:val="none" w:sz="0" w:space="0" w:color="auto"/>
                                                              </w:divBdr>
                                                              <w:divsChild>
                                                                <w:div w:id="579414523">
                                                                  <w:marLeft w:val="0"/>
                                                                  <w:marRight w:val="0"/>
                                                                  <w:marTop w:val="0"/>
                                                                  <w:marBottom w:val="0"/>
                                                                  <w:divBdr>
                                                                    <w:top w:val="none" w:sz="0" w:space="0" w:color="auto"/>
                                                                    <w:left w:val="none" w:sz="0" w:space="0" w:color="auto"/>
                                                                    <w:bottom w:val="none" w:sz="0" w:space="0" w:color="auto"/>
                                                                    <w:right w:val="none" w:sz="0" w:space="0" w:color="auto"/>
                                                                  </w:divBdr>
                                                                  <w:divsChild>
                                                                    <w:div w:id="928274015">
                                                                      <w:marLeft w:val="0"/>
                                                                      <w:marRight w:val="0"/>
                                                                      <w:marTop w:val="0"/>
                                                                      <w:marBottom w:val="0"/>
                                                                      <w:divBdr>
                                                                        <w:top w:val="none" w:sz="0" w:space="0" w:color="auto"/>
                                                                        <w:left w:val="none" w:sz="0" w:space="0" w:color="auto"/>
                                                                        <w:bottom w:val="none" w:sz="0" w:space="0" w:color="auto"/>
                                                                        <w:right w:val="none" w:sz="0" w:space="0" w:color="auto"/>
                                                                      </w:divBdr>
                                                                      <w:divsChild>
                                                                        <w:div w:id="7919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388896">
      <w:bodyDiv w:val="1"/>
      <w:marLeft w:val="0"/>
      <w:marRight w:val="0"/>
      <w:marTop w:val="0"/>
      <w:marBottom w:val="0"/>
      <w:divBdr>
        <w:top w:val="none" w:sz="0" w:space="0" w:color="auto"/>
        <w:left w:val="none" w:sz="0" w:space="0" w:color="auto"/>
        <w:bottom w:val="none" w:sz="0" w:space="0" w:color="auto"/>
        <w:right w:val="none" w:sz="0" w:space="0" w:color="auto"/>
      </w:divBdr>
    </w:div>
    <w:div w:id="1520587465">
      <w:bodyDiv w:val="1"/>
      <w:marLeft w:val="0"/>
      <w:marRight w:val="0"/>
      <w:marTop w:val="0"/>
      <w:marBottom w:val="0"/>
      <w:divBdr>
        <w:top w:val="none" w:sz="0" w:space="0" w:color="auto"/>
        <w:left w:val="none" w:sz="0" w:space="0" w:color="auto"/>
        <w:bottom w:val="none" w:sz="0" w:space="0" w:color="auto"/>
        <w:right w:val="none" w:sz="0" w:space="0" w:color="auto"/>
      </w:divBdr>
    </w:div>
    <w:div w:id="1619680148">
      <w:bodyDiv w:val="1"/>
      <w:marLeft w:val="0"/>
      <w:marRight w:val="0"/>
      <w:marTop w:val="0"/>
      <w:marBottom w:val="0"/>
      <w:divBdr>
        <w:top w:val="none" w:sz="0" w:space="0" w:color="auto"/>
        <w:left w:val="none" w:sz="0" w:space="0" w:color="auto"/>
        <w:bottom w:val="none" w:sz="0" w:space="0" w:color="auto"/>
        <w:right w:val="none" w:sz="0" w:space="0" w:color="auto"/>
      </w:divBdr>
    </w:div>
    <w:div w:id="2132702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c-sos.state.al.us/PAC/SOSACPDF.001/A0008555.PDF" TargetMode="External"/><Relationship Id="rId18" Type="http://schemas.openxmlformats.org/officeDocument/2006/relationships/hyperlink" Target="http://arc-sos.state.al.us/PAC/SOSACPDF.001/A0008558.PDF" TargetMode="External"/><Relationship Id="rId26" Type="http://schemas.openxmlformats.org/officeDocument/2006/relationships/hyperlink" Target="http://arc-sos.state.al.us/PAC/SOSACPDF.001/A0008986.PDF" TargetMode="External"/><Relationship Id="rId3" Type="http://schemas.openxmlformats.org/officeDocument/2006/relationships/customXml" Target="../customXml/item3.xml"/><Relationship Id="rId21" Type="http://schemas.openxmlformats.org/officeDocument/2006/relationships/hyperlink" Target="http://arc-sos.state.al.us/PAC/SOSACPDF.001/A0008752.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arc-sos.state.al.us/PAC/SOSACPDF.001/A0008680.PDF" TargetMode="External"/><Relationship Id="rId17" Type="http://schemas.openxmlformats.org/officeDocument/2006/relationships/hyperlink" Target="http://arc-sos.state.al.us/PAC/SOSACPDF.001/A0008746.PDF" TargetMode="External"/><Relationship Id="rId25" Type="http://schemas.openxmlformats.org/officeDocument/2006/relationships/hyperlink" Target="http://arc-sos.state.al.us/PAC/SOSACPDF.001/A0008454.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rc-sos.state.al.us/PAC/SOSACPDF.001/A0008318.PDF" TargetMode="External"/><Relationship Id="rId20" Type="http://schemas.openxmlformats.org/officeDocument/2006/relationships/hyperlink" Target="http://arc-sos.state.al.us/PAC/SOSACPDF.001/A0008712.PDF" TargetMode="External"/><Relationship Id="rId29" Type="http://schemas.openxmlformats.org/officeDocument/2006/relationships/hyperlink" Target="http://arc-sos.state.al.us/PAC/SOSACPDF.001/A0008757.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sos.state.al.us/PAC/SOSACPDF.001/A0008528.PDF" TargetMode="External"/><Relationship Id="rId24" Type="http://schemas.openxmlformats.org/officeDocument/2006/relationships/hyperlink" Target="http://arc-sos.state.al.us/PAC/SOSACPDF.001/A0008745.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arc-sos.state.al.us/PAC/SOSACPDF.001/A0008674.PDF" TargetMode="External"/><Relationship Id="rId23" Type="http://schemas.openxmlformats.org/officeDocument/2006/relationships/hyperlink" Target="http://arc-sos.state.al.us/PAC/SOSACPDF.001/A0009004.PDF" TargetMode="External"/><Relationship Id="rId28" Type="http://schemas.openxmlformats.org/officeDocument/2006/relationships/hyperlink" Target="http://arc-sos.state.al.us/PAC/SOSACPDF.001/A0008294.PDF" TargetMode="External"/><Relationship Id="rId10" Type="http://schemas.openxmlformats.org/officeDocument/2006/relationships/image" Target="media/image1.jpeg"/><Relationship Id="rId19" Type="http://schemas.openxmlformats.org/officeDocument/2006/relationships/hyperlink" Target="http://arc-sos.state.al.us/PAC/SOSACPDF.001/A0008649.PDF" TargetMode="External"/><Relationship Id="rId31" Type="http://schemas.openxmlformats.org/officeDocument/2006/relationships/hyperlink" Target="http://arc-sos.state.al.us/PAC/SOSACPDF.001/A00085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c-sos.state.al.us/PAC/SOSACPDF.001/A0008713.PDF" TargetMode="External"/><Relationship Id="rId22" Type="http://schemas.openxmlformats.org/officeDocument/2006/relationships/hyperlink" Target="http://arc-sos.state.al.us/PAC/SOSACPDF.001/A0008795.PDF" TargetMode="External"/><Relationship Id="rId27" Type="http://schemas.openxmlformats.org/officeDocument/2006/relationships/hyperlink" Target="http://arc-sos.state.al.us/PAC/SOSACPDF.001/A0008987.PDF" TargetMode="External"/><Relationship Id="rId30" Type="http://schemas.openxmlformats.org/officeDocument/2006/relationships/hyperlink" Target="http://arc-sos.state.al.us/PAC/SOSACPDF.001/A0008562.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4B56BEF6600449D961A580A472407" ma:contentTypeVersion="1" ma:contentTypeDescription="Create a new document." ma:contentTypeScope="" ma:versionID="58b0b48246b8350c3faaec6b7554451c">
  <xsd:schema xmlns:xsd="http://www.w3.org/2001/XMLSchema" xmlns:xs="http://www.w3.org/2001/XMLSchema" xmlns:p="http://schemas.microsoft.com/office/2006/metadata/properties" xmlns:ns3="bf1b16fd-bd78-4571-8847-f27964839a6f" targetNamespace="http://schemas.microsoft.com/office/2006/metadata/properties" ma:root="true" ma:fieldsID="a5dd0fd524ac4974bfee8c1f64bc5032" ns3:_="">
    <xsd:import namespace="bf1b16fd-bd78-4571-8847-f27964839a6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b16fd-bd78-4571-8847-f27964839a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9DD28-D8D0-469D-B949-8C342E3EA072}">
  <ds:schemaRefs>
    <ds:schemaRef ds:uri="http://schemas.microsoft.com/sharepoint/v3/contenttype/forms"/>
  </ds:schemaRefs>
</ds:datastoreItem>
</file>

<file path=customXml/itemProps2.xml><?xml version="1.0" encoding="utf-8"?>
<ds:datastoreItem xmlns:ds="http://schemas.openxmlformats.org/officeDocument/2006/customXml" ds:itemID="{733B5A48-04E5-4A23-AA6A-83FF754F3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b16fd-bd78-4571-8847-f2796483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79E7C-C2BD-4384-96C1-2FDDA9133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and Lisa Woodard</dc:creator>
  <cp:keywords/>
  <dc:description/>
  <cp:lastModifiedBy>Lisa Woodard</cp:lastModifiedBy>
  <cp:revision>3</cp:revision>
  <cp:lastPrinted>2011-06-10T18:32:00Z</cp:lastPrinted>
  <dcterms:created xsi:type="dcterms:W3CDTF">2019-07-01T19:29:00Z</dcterms:created>
  <dcterms:modified xsi:type="dcterms:W3CDTF">2019-07-01T19:29:00Z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0x010100A014B56BEF6600449D961A580A472407</vt:lpwstr>
  </property>
  <property fmtid="{D5CDD505-2E9C-101B-9397-08002B2CF9AE}" pid="3" name="IsMyDocuments">
    <vt:bool>true</vt:bool>
  </property>
</Properties>
</file>